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30944" w14:textId="77777777" w:rsidR="00DC3EFC" w:rsidRPr="000F4B88" w:rsidRDefault="00DC3EFC" w:rsidP="00DC3EFC">
      <w:pPr>
        <w:spacing w:after="160" w:line="259" w:lineRule="auto"/>
        <w:jc w:val="both"/>
      </w:pPr>
      <w:bookmarkStart w:id="0" w:name="OLE_LINK1"/>
    </w:p>
    <w:p w14:paraId="53577ED2" w14:textId="07854B00" w:rsidR="00DC3EFC" w:rsidRPr="000F4B88" w:rsidRDefault="00DC3EFC" w:rsidP="00DC3EFC">
      <w:pPr>
        <w:spacing w:after="160" w:line="259" w:lineRule="auto"/>
        <w:ind w:left="284"/>
        <w:jc w:val="center"/>
        <w:rPr>
          <w:rFonts w:ascii="Arial" w:hAnsi="Arial" w:cs="Arial"/>
          <w:b/>
          <w:bCs/>
          <w:sz w:val="24"/>
          <w:szCs w:val="24"/>
        </w:rPr>
      </w:pPr>
      <w:r w:rsidRPr="000F4B88">
        <w:rPr>
          <w:rFonts w:ascii="Arial" w:hAnsi="Arial" w:cs="Arial"/>
          <w:b/>
          <w:bCs/>
          <w:sz w:val="24"/>
          <w:szCs w:val="24"/>
        </w:rPr>
        <w:t>REUNIÃO ORDINÁRIA DO COMITÊ DE INVESTIMENTOS</w:t>
      </w:r>
    </w:p>
    <w:p w14:paraId="175795E8" w14:textId="77777777" w:rsidR="00DC3EFC" w:rsidRPr="00DC3EFC" w:rsidRDefault="00DC3EFC" w:rsidP="00DC3EFC">
      <w:pPr>
        <w:spacing w:after="160" w:line="259" w:lineRule="auto"/>
        <w:jc w:val="right"/>
        <w:rPr>
          <w:rFonts w:ascii="Arial" w:hAnsi="Arial" w:cs="Arial"/>
          <w:b/>
          <w:bCs/>
          <w:sz w:val="24"/>
          <w:szCs w:val="24"/>
        </w:rPr>
      </w:pPr>
    </w:p>
    <w:p w14:paraId="5EA927B6" w14:textId="77D156F8" w:rsidR="00DC3EFC" w:rsidRPr="00DC3EFC" w:rsidRDefault="00DC3EFC" w:rsidP="00683875">
      <w:pPr>
        <w:spacing w:after="160" w:line="259" w:lineRule="auto"/>
        <w:ind w:left="5387"/>
        <w:jc w:val="both"/>
        <w:rPr>
          <w:rFonts w:ascii="Arial" w:hAnsi="Arial" w:cs="Arial"/>
          <w:b/>
          <w:bCs/>
          <w:sz w:val="24"/>
          <w:szCs w:val="24"/>
        </w:rPr>
      </w:pPr>
      <w:r w:rsidRPr="000F4B88">
        <w:rPr>
          <w:rFonts w:ascii="Arial" w:hAnsi="Arial" w:cs="Arial"/>
          <w:b/>
          <w:bCs/>
          <w:sz w:val="24"/>
          <w:szCs w:val="24"/>
        </w:rPr>
        <w:t>Deliberação sobre a Política de Investimentos para o Exercício de 2026</w:t>
      </w:r>
      <w:r w:rsidRPr="00DC3EFC">
        <w:rPr>
          <w:rFonts w:ascii="Arial" w:hAnsi="Arial" w:cs="Arial"/>
          <w:b/>
          <w:bCs/>
          <w:sz w:val="24"/>
          <w:szCs w:val="24"/>
        </w:rPr>
        <w:t>.</w:t>
      </w:r>
    </w:p>
    <w:p w14:paraId="3110428B" w14:textId="77777777" w:rsidR="00DC3EFC" w:rsidRPr="000F4B88" w:rsidRDefault="00DC3EFC" w:rsidP="00DC3EFC">
      <w:pPr>
        <w:spacing w:after="160" w:line="259" w:lineRule="auto"/>
        <w:jc w:val="right"/>
        <w:rPr>
          <w:rFonts w:ascii="Arial" w:hAnsi="Arial" w:cs="Arial"/>
          <w:sz w:val="10"/>
          <w:szCs w:val="10"/>
        </w:rPr>
      </w:pPr>
    </w:p>
    <w:p w14:paraId="1A6560C3" w14:textId="7F662222" w:rsidR="00DC3EFC" w:rsidRDefault="00DC3EFC" w:rsidP="00DC3EFC">
      <w:pPr>
        <w:jc w:val="both"/>
        <w:rPr>
          <w:rFonts w:ascii="Arial" w:hAnsi="Arial" w:cs="Arial"/>
          <w:sz w:val="24"/>
          <w:szCs w:val="24"/>
        </w:rPr>
      </w:pPr>
      <w:r w:rsidRPr="000F4B88">
        <w:rPr>
          <w:rFonts w:ascii="Arial" w:hAnsi="Arial" w:cs="Arial"/>
          <w:sz w:val="24"/>
          <w:szCs w:val="24"/>
        </w:rPr>
        <w:t xml:space="preserve">Aos </w:t>
      </w:r>
      <w:r w:rsidR="00EA17D8">
        <w:rPr>
          <w:rFonts w:ascii="Arial" w:hAnsi="Arial" w:cs="Arial"/>
          <w:sz w:val="24"/>
          <w:szCs w:val="24"/>
        </w:rPr>
        <w:t>quatorze</w:t>
      </w:r>
      <w:r w:rsidRPr="000F4B88">
        <w:rPr>
          <w:rFonts w:ascii="Arial" w:hAnsi="Arial" w:cs="Arial"/>
          <w:sz w:val="24"/>
          <w:szCs w:val="24"/>
        </w:rPr>
        <w:t xml:space="preserve"> </w:t>
      </w:r>
      <w:r w:rsidRPr="00DC3EFC">
        <w:rPr>
          <w:rFonts w:ascii="Arial" w:hAnsi="Arial" w:cs="Arial"/>
          <w:sz w:val="24"/>
          <w:szCs w:val="24"/>
        </w:rPr>
        <w:t>(</w:t>
      </w:r>
      <w:r w:rsidR="00EA17D8">
        <w:rPr>
          <w:rFonts w:ascii="Arial" w:hAnsi="Arial" w:cs="Arial"/>
          <w:sz w:val="24"/>
          <w:szCs w:val="24"/>
        </w:rPr>
        <w:t>14</w:t>
      </w:r>
      <w:r w:rsidRPr="00DC3EFC">
        <w:rPr>
          <w:rFonts w:ascii="Arial" w:hAnsi="Arial" w:cs="Arial"/>
          <w:sz w:val="24"/>
          <w:szCs w:val="24"/>
        </w:rPr>
        <w:t xml:space="preserve">) </w:t>
      </w:r>
      <w:r w:rsidRPr="000F4B88">
        <w:rPr>
          <w:rFonts w:ascii="Arial" w:hAnsi="Arial" w:cs="Arial"/>
          <w:sz w:val="24"/>
          <w:szCs w:val="24"/>
        </w:rPr>
        <w:t>dias do mês de dezembro de dois mil e vinte e cinco, às dez</w:t>
      </w:r>
      <w:r w:rsidRPr="00DC3EFC">
        <w:rPr>
          <w:rFonts w:ascii="Arial" w:hAnsi="Arial" w:cs="Arial"/>
          <w:sz w:val="24"/>
          <w:szCs w:val="24"/>
        </w:rPr>
        <w:t xml:space="preserve"> (1</w:t>
      </w:r>
      <w:r w:rsidR="00EA17D8">
        <w:rPr>
          <w:rFonts w:ascii="Arial" w:hAnsi="Arial" w:cs="Arial"/>
          <w:sz w:val="24"/>
          <w:szCs w:val="24"/>
        </w:rPr>
        <w:t>3</w:t>
      </w:r>
      <w:r w:rsidRPr="00DC3EFC">
        <w:rPr>
          <w:rFonts w:ascii="Arial" w:hAnsi="Arial" w:cs="Arial"/>
          <w:sz w:val="24"/>
          <w:szCs w:val="24"/>
        </w:rPr>
        <w:t>)</w:t>
      </w:r>
      <w:r w:rsidRPr="000F4B88">
        <w:rPr>
          <w:rFonts w:ascii="Arial" w:hAnsi="Arial" w:cs="Arial"/>
          <w:sz w:val="24"/>
          <w:szCs w:val="24"/>
        </w:rPr>
        <w:t xml:space="preserve"> horas, na sede do Instituto de Previdência dos Servidores Públicos do Município de Guanhães – GuanhãesPrev, situada na Rua Monsenhor Pinheiro, nº 101, Centro, Guanhães/MG, reuniu-se o Comitê de Investimentos, com a presença de Cláudia Aparecida Monteiro dos Santos, Daniel Fernando da Silva, Francielle Elgita de Oliveira Costa, Humberto Salvador Ferreira Lopes e Rosimery Aparecida Inácio de Pinho Procópio, além da participação remota de Rodolpho Malafaia</w:t>
      </w:r>
      <w:r w:rsidR="00EA17D8">
        <w:rPr>
          <w:rFonts w:ascii="Arial" w:hAnsi="Arial" w:cs="Arial"/>
          <w:sz w:val="24"/>
          <w:szCs w:val="24"/>
        </w:rPr>
        <w:t xml:space="preserve"> e Daniele Carvalho</w:t>
      </w:r>
      <w:r w:rsidRPr="000F4B88">
        <w:rPr>
          <w:rFonts w:ascii="Arial" w:hAnsi="Arial" w:cs="Arial"/>
          <w:sz w:val="24"/>
          <w:szCs w:val="24"/>
        </w:rPr>
        <w:t>, consultor</w:t>
      </w:r>
      <w:r w:rsidR="00EA17D8">
        <w:rPr>
          <w:rFonts w:ascii="Arial" w:hAnsi="Arial" w:cs="Arial"/>
          <w:sz w:val="24"/>
          <w:szCs w:val="24"/>
        </w:rPr>
        <w:t>es</w:t>
      </w:r>
      <w:r w:rsidRPr="000F4B88">
        <w:rPr>
          <w:rFonts w:ascii="Arial" w:hAnsi="Arial" w:cs="Arial"/>
          <w:sz w:val="24"/>
          <w:szCs w:val="24"/>
        </w:rPr>
        <w:t xml:space="preserve"> da Lema Assessoria de Investimentos.</w:t>
      </w:r>
      <w:r w:rsidRPr="00DC3EFC">
        <w:rPr>
          <w:rFonts w:ascii="Arial" w:hAnsi="Arial" w:cs="Arial"/>
          <w:sz w:val="24"/>
          <w:szCs w:val="24"/>
        </w:rPr>
        <w:t xml:space="preserve"> </w:t>
      </w:r>
      <w:r w:rsidRPr="000F4B88">
        <w:rPr>
          <w:rFonts w:ascii="Arial" w:hAnsi="Arial" w:cs="Arial"/>
          <w:sz w:val="24"/>
          <w:szCs w:val="24"/>
        </w:rPr>
        <w:t>A Presidente do Comitê, Sr</w:t>
      </w:r>
      <w:r w:rsidRPr="00DC3EFC">
        <w:rPr>
          <w:rFonts w:ascii="Arial" w:hAnsi="Arial" w:cs="Arial"/>
          <w:sz w:val="24"/>
          <w:szCs w:val="24"/>
        </w:rPr>
        <w:t>ª</w:t>
      </w:r>
      <w:r w:rsidRPr="000F4B88">
        <w:rPr>
          <w:rFonts w:ascii="Arial" w:hAnsi="Arial" w:cs="Arial"/>
          <w:sz w:val="24"/>
          <w:szCs w:val="24"/>
        </w:rPr>
        <w:t xml:space="preserve"> Francielle Elgita de Oliveira Costa, abriu a reunião informando que a pauta principal consistia </w:t>
      </w:r>
      <w:r w:rsidR="00EA17D8">
        <w:rPr>
          <w:rFonts w:ascii="Arial" w:hAnsi="Arial" w:cs="Arial"/>
          <w:sz w:val="24"/>
          <w:szCs w:val="24"/>
        </w:rPr>
        <w:t>n</w:t>
      </w:r>
      <w:r w:rsidR="00EA17D8" w:rsidRPr="00192E24">
        <w:rPr>
          <w:rFonts w:ascii="Arial" w:hAnsi="Arial" w:cs="Arial"/>
          <w:sz w:val="24"/>
          <w:szCs w:val="24"/>
        </w:rPr>
        <w:t xml:space="preserve">o objetivo de analisar e deliberar sobre a Política de Investimentos para o exercício de 2026, em conformidade com a </w:t>
      </w:r>
      <w:r w:rsidR="00FC1712">
        <w:rPr>
          <w:rFonts w:ascii="Arial" w:hAnsi="Arial" w:cs="Arial"/>
          <w:sz w:val="24"/>
          <w:szCs w:val="24"/>
        </w:rPr>
        <w:t xml:space="preserve">nova </w:t>
      </w:r>
      <w:r w:rsidR="00EA17D8" w:rsidRPr="00192E24">
        <w:rPr>
          <w:rFonts w:ascii="Arial" w:hAnsi="Arial" w:cs="Arial"/>
          <w:sz w:val="24"/>
          <w:szCs w:val="24"/>
        </w:rPr>
        <w:t>Resolução CMN nº 5.272</w:t>
      </w:r>
      <w:r w:rsidR="00EA17D8">
        <w:rPr>
          <w:rFonts w:ascii="Arial" w:hAnsi="Arial" w:cs="Arial"/>
          <w:sz w:val="24"/>
          <w:szCs w:val="24"/>
        </w:rPr>
        <w:t>/2025</w:t>
      </w:r>
      <w:r w:rsidR="00EA17D8" w:rsidRPr="00192E24">
        <w:rPr>
          <w:rFonts w:ascii="Arial" w:hAnsi="Arial" w:cs="Arial"/>
          <w:sz w:val="24"/>
          <w:szCs w:val="24"/>
        </w:rPr>
        <w:t xml:space="preserve"> </w:t>
      </w:r>
      <w:r w:rsidR="00FC1712">
        <w:rPr>
          <w:rFonts w:ascii="Arial" w:hAnsi="Arial" w:cs="Arial"/>
          <w:sz w:val="24"/>
          <w:szCs w:val="24"/>
        </w:rPr>
        <w:t xml:space="preserve">que entrará </w:t>
      </w:r>
      <w:r w:rsidR="00EA17D8" w:rsidRPr="00192E24">
        <w:rPr>
          <w:rFonts w:ascii="Arial" w:hAnsi="Arial" w:cs="Arial"/>
          <w:sz w:val="24"/>
          <w:szCs w:val="24"/>
        </w:rPr>
        <w:t>e</w:t>
      </w:r>
      <w:r w:rsidR="00FC1712">
        <w:rPr>
          <w:rFonts w:ascii="Arial" w:hAnsi="Arial" w:cs="Arial"/>
          <w:sz w:val="24"/>
          <w:szCs w:val="24"/>
        </w:rPr>
        <w:t>m vigor em 01/02/2026 e</w:t>
      </w:r>
      <w:r w:rsidR="00EA17D8" w:rsidRPr="00192E24">
        <w:rPr>
          <w:rFonts w:ascii="Arial" w:hAnsi="Arial" w:cs="Arial"/>
          <w:sz w:val="24"/>
          <w:szCs w:val="24"/>
        </w:rPr>
        <w:t xml:space="preserve"> a Portaria MTP nº 1.467</w:t>
      </w:r>
      <w:r w:rsidR="00EA17D8">
        <w:rPr>
          <w:rFonts w:ascii="Arial" w:hAnsi="Arial" w:cs="Arial"/>
          <w:sz w:val="24"/>
          <w:szCs w:val="24"/>
        </w:rPr>
        <w:t>/2022</w:t>
      </w:r>
      <w:r w:rsidR="00EA17D8" w:rsidRPr="00192E24">
        <w:rPr>
          <w:rFonts w:ascii="Arial" w:hAnsi="Arial" w:cs="Arial"/>
          <w:sz w:val="24"/>
          <w:szCs w:val="24"/>
        </w:rPr>
        <w:t>, mantendo-se a estrutura da política anterior com adequações às novas exigências normativas, reafirmando que a política é o instrumento que estabelece diretrizes, princípios e regras para a aplicação dos recursos do RPPS, assegurando segurança, rentabilidade, solvência, liquidez, compatibilidade atuarial, governança e transparência, ficando definido que sua vigência compreenderá o período anual de 2026, devendo ser aprovada pelo órgão competente antes da implementação, permanecendo válido o modelo de gestão própria, no qual as decisões são tomadas pela Diretoria Executiva, Conselhos e Comitê de Investimentos, sem interferências externas; foi ratificada a meta atuarial de IPCA + 5,63%, considerando a expectativa de IPCA conforme Boletim Focus, resultando em meta nominal estimada de aproximadamente 10,07% para 2026, calculada com base na duração do passivo e ajustada pelo histórico de cumprimento da meta; deliberou-se que a estratégia de alocação observará a compatibilidade entre ativos e obrigações, considerando cenário econômico, carteira atual, perfil de risco e obrigações atuariais, sendo definido que a carteira permanecerá com predominância em renda fixa, mantendo concentração em fundos referenciados em títulos públicos, fundos de renda fixa, ativos bancários e crédito privado, com diversificação gradual conforme os limites da nova resolução, permanecendo os investimentos atualmente desenquadrados sob regime de adequação passiva pelo prazo legal de até dois anos, vedadas novas aplicações fora dos limites da Resolução nº 5.272</w:t>
      </w:r>
      <w:r w:rsidR="00EA17D8">
        <w:rPr>
          <w:rFonts w:ascii="Arial" w:hAnsi="Arial" w:cs="Arial"/>
          <w:sz w:val="24"/>
          <w:szCs w:val="24"/>
        </w:rPr>
        <w:t>/2025</w:t>
      </w:r>
      <w:r w:rsidR="00EA17D8" w:rsidRPr="00192E24">
        <w:rPr>
          <w:rFonts w:ascii="Arial" w:hAnsi="Arial" w:cs="Arial"/>
          <w:sz w:val="24"/>
          <w:szCs w:val="24"/>
        </w:rPr>
        <w:t xml:space="preserve">; foi debatido o tratamento dos ativos específicos em processo de liquidação, especialmente FIDC e fundo imobiliário, ficando registrado que, em razão da liquidação em curso e das autorizações normativas anteriores, tais ativos serão analisados de forma segregada até manifestação definitiva da regulamentação vigente, tendo sido deliberado </w:t>
      </w:r>
      <w:r w:rsidR="00EA17D8" w:rsidRPr="00192E24">
        <w:rPr>
          <w:rFonts w:ascii="Arial" w:hAnsi="Arial" w:cs="Arial"/>
          <w:sz w:val="24"/>
          <w:szCs w:val="24"/>
        </w:rPr>
        <w:lastRenderedPageBreak/>
        <w:t xml:space="preserve">que, para fins de política, não constarão como estratégia-alvo novos aportes em segmentos não permitidos, mantendo-se apenas o acompanhamento do estoque existente; decidiu-se realocar o percentual referente ao fundo imobiliário para o segmento multimercado e transferir o percentual do FIDC para o segmento de fundos de investimento do artigo </w:t>
      </w:r>
      <w:r w:rsidR="00EA17D8">
        <w:rPr>
          <w:rFonts w:ascii="Arial" w:hAnsi="Arial" w:cs="Arial"/>
          <w:sz w:val="24"/>
          <w:szCs w:val="24"/>
        </w:rPr>
        <w:t>7º,</w:t>
      </w:r>
      <w:r w:rsidR="00EA17D8">
        <w:rPr>
          <w:rFonts w:ascii="Arial" w:hAnsi="Arial" w:cs="Arial"/>
          <w:sz w:val="24"/>
          <w:szCs w:val="24"/>
        </w:rPr>
        <w:t xml:space="preserve"> </w:t>
      </w:r>
      <w:r w:rsidR="00EA17D8">
        <w:rPr>
          <w:rFonts w:ascii="Arial" w:hAnsi="Arial" w:cs="Arial"/>
          <w:sz w:val="24"/>
          <w:szCs w:val="24"/>
        </w:rPr>
        <w:t>I,</w:t>
      </w:r>
      <w:r w:rsidR="00EA17D8" w:rsidRPr="00192E24">
        <w:rPr>
          <w:rFonts w:ascii="Arial" w:hAnsi="Arial" w:cs="Arial"/>
          <w:sz w:val="24"/>
          <w:szCs w:val="24"/>
        </w:rPr>
        <w:t xml:space="preserve"> permanecendo a eventual implementação de empréstimo consignado condicionada à manifestação do Conselho, com possibilidade de revisão da política</w:t>
      </w:r>
      <w:r w:rsidR="00EA17D8">
        <w:rPr>
          <w:rFonts w:ascii="Arial" w:hAnsi="Arial" w:cs="Arial"/>
          <w:sz w:val="24"/>
          <w:szCs w:val="24"/>
        </w:rPr>
        <w:t>,</w:t>
      </w:r>
      <w:r w:rsidR="00EA17D8" w:rsidRPr="00192E24">
        <w:rPr>
          <w:rFonts w:ascii="Arial" w:hAnsi="Arial" w:cs="Arial"/>
          <w:sz w:val="24"/>
          <w:szCs w:val="24"/>
        </w:rPr>
        <w:t xml:space="preserve"> caso necessário; ficou estabelecido que a gestão seguirá com monitoramento permanente de risco, liquidez, rentabilidade e aderência atuarial, planejamento de resgates e alocações dentro do período de transição normativa, além da intensificação dos controles de risco exigidos pela nova resolução</w:t>
      </w:r>
      <w:r w:rsidR="00EA17D8">
        <w:rPr>
          <w:rFonts w:ascii="Arial" w:hAnsi="Arial" w:cs="Arial"/>
          <w:sz w:val="24"/>
          <w:szCs w:val="24"/>
        </w:rPr>
        <w:t xml:space="preserve">. </w:t>
      </w:r>
      <w:r w:rsidRPr="000F4B88">
        <w:rPr>
          <w:rFonts w:ascii="Arial" w:hAnsi="Arial" w:cs="Arial"/>
          <w:sz w:val="24"/>
          <w:szCs w:val="24"/>
        </w:rPr>
        <w:t xml:space="preserve">Após análise técnica, o Comitê deliberou pela </w:t>
      </w:r>
      <w:r w:rsidRPr="000F4B88">
        <w:rPr>
          <w:rFonts w:ascii="Arial" w:hAnsi="Arial" w:cs="Arial"/>
          <w:b/>
          <w:bCs/>
          <w:sz w:val="24"/>
          <w:szCs w:val="24"/>
        </w:rPr>
        <w:t>aprovação dos percentuais, segmentos e diretrizes da Política de Investimentos para o exercício de 2026</w:t>
      </w:r>
      <w:r w:rsidRPr="000F4B88">
        <w:rPr>
          <w:rFonts w:ascii="Arial" w:hAnsi="Arial" w:cs="Arial"/>
          <w:sz w:val="24"/>
          <w:szCs w:val="24"/>
        </w:rPr>
        <w:t>, por estarem alinhados ao perfil conservador do Instituto, às exigências legais e às necessidades do RPPS</w:t>
      </w:r>
      <w:r w:rsidRPr="00DC3EFC">
        <w:rPr>
          <w:rFonts w:ascii="Arial" w:hAnsi="Arial" w:cs="Arial"/>
          <w:sz w:val="24"/>
          <w:szCs w:val="24"/>
        </w:rPr>
        <w:t>, conforme quadro descrito abaixo:</w:t>
      </w:r>
    </w:p>
    <w:tbl>
      <w:tblPr>
        <w:tblW w:w="5663" w:type="pct"/>
        <w:tblInd w:w="-714" w:type="dxa"/>
        <w:tblCellMar>
          <w:left w:w="70" w:type="dxa"/>
          <w:right w:w="70" w:type="dxa"/>
        </w:tblCellMar>
        <w:tblLook w:val="04A0" w:firstRow="1" w:lastRow="0" w:firstColumn="1" w:lastColumn="0" w:noHBand="0" w:noVBand="1"/>
      </w:tblPr>
      <w:tblGrid>
        <w:gridCol w:w="1204"/>
        <w:gridCol w:w="1349"/>
        <w:gridCol w:w="1391"/>
        <w:gridCol w:w="1107"/>
        <w:gridCol w:w="905"/>
        <w:gridCol w:w="463"/>
        <w:gridCol w:w="523"/>
        <w:gridCol w:w="523"/>
        <w:gridCol w:w="523"/>
        <w:gridCol w:w="550"/>
        <w:gridCol w:w="702"/>
        <w:gridCol w:w="888"/>
        <w:gridCol w:w="778"/>
      </w:tblGrid>
      <w:tr w:rsidR="00EA17D8" w:rsidRPr="00EA17D8" w14:paraId="66FDD9AA" w14:textId="77777777" w:rsidTr="00EA17D8">
        <w:trPr>
          <w:trHeight w:val="233"/>
        </w:trPr>
        <w:tc>
          <w:tcPr>
            <w:tcW w:w="552" w:type="pct"/>
            <w:vMerge w:val="restart"/>
            <w:tcBorders>
              <w:top w:val="single" w:sz="4" w:space="0" w:color="auto"/>
              <w:left w:val="single" w:sz="4" w:space="0" w:color="auto"/>
              <w:right w:val="single" w:sz="4" w:space="0" w:color="auto"/>
            </w:tcBorders>
            <w:vAlign w:val="center"/>
          </w:tcPr>
          <w:p w14:paraId="40081827" w14:textId="77777777" w:rsidR="00EA17D8" w:rsidRPr="00EA17D8" w:rsidRDefault="00EA17D8" w:rsidP="00EA17D8">
            <w:pPr>
              <w:spacing w:after="0" w:line="240" w:lineRule="auto"/>
              <w:jc w:val="center"/>
              <w:rPr>
                <w:rFonts w:ascii="Calibri" w:eastAsia="Times New Roman" w:hAnsi="Calibri" w:cs="Times New Roman"/>
                <w:b/>
                <w:bCs/>
                <w:color w:val="2F5496"/>
                <w:sz w:val="18"/>
                <w:szCs w:val="18"/>
                <w:lang w:eastAsia="pt-BR"/>
              </w:rPr>
            </w:pPr>
            <w:r w:rsidRPr="00EA17D8">
              <w:rPr>
                <w:rFonts w:ascii="Calibri" w:eastAsia="Times New Roman" w:hAnsi="Calibri" w:cs="Times New Roman"/>
                <w:b/>
                <w:bCs/>
                <w:color w:val="2F5496"/>
                <w:sz w:val="18"/>
                <w:szCs w:val="18"/>
                <w:lang w:eastAsia="pt-BR"/>
              </w:rPr>
              <w:t>Segmento</w:t>
            </w:r>
          </w:p>
        </w:tc>
        <w:tc>
          <w:tcPr>
            <w:tcW w:w="618" w:type="pct"/>
            <w:vMerge w:val="restart"/>
            <w:tcBorders>
              <w:top w:val="single" w:sz="4" w:space="0" w:color="auto"/>
              <w:left w:val="single" w:sz="4" w:space="0" w:color="auto"/>
              <w:right w:val="single" w:sz="4" w:space="0" w:color="auto"/>
            </w:tcBorders>
            <w:vAlign w:val="center"/>
          </w:tcPr>
          <w:p w14:paraId="1193563B"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Enquadramento Res. 5.272/2025</w:t>
            </w:r>
          </w:p>
        </w:tc>
        <w:tc>
          <w:tcPr>
            <w:tcW w:w="638" w:type="pct"/>
            <w:vMerge w:val="restart"/>
            <w:tcBorders>
              <w:top w:val="single" w:sz="4" w:space="0" w:color="auto"/>
              <w:left w:val="single" w:sz="4" w:space="0" w:color="auto"/>
              <w:right w:val="single" w:sz="4" w:space="0" w:color="auto"/>
            </w:tcBorders>
            <w:vAlign w:val="center"/>
          </w:tcPr>
          <w:p w14:paraId="5C5FC28A"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Tipo de Ativo</w:t>
            </w:r>
          </w:p>
        </w:tc>
        <w:tc>
          <w:tcPr>
            <w:tcW w:w="508" w:type="pct"/>
            <w:vMerge w:val="restart"/>
            <w:tcBorders>
              <w:top w:val="single" w:sz="4" w:space="0" w:color="auto"/>
              <w:left w:val="single" w:sz="4" w:space="0" w:color="auto"/>
              <w:right w:val="single" w:sz="4" w:space="0" w:color="auto"/>
            </w:tcBorders>
            <w:vAlign w:val="center"/>
          </w:tcPr>
          <w:p w14:paraId="60B70F4F"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Carteira Atual (R$)</w:t>
            </w:r>
          </w:p>
        </w:tc>
        <w:tc>
          <w:tcPr>
            <w:tcW w:w="415" w:type="pct"/>
            <w:vMerge w:val="restart"/>
            <w:tcBorders>
              <w:top w:val="single" w:sz="4" w:space="0" w:color="auto"/>
              <w:left w:val="single" w:sz="4" w:space="0" w:color="auto"/>
              <w:right w:val="single" w:sz="4" w:space="0" w:color="auto"/>
            </w:tcBorders>
            <w:vAlign w:val="center"/>
          </w:tcPr>
          <w:p w14:paraId="69D3281B"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Carteira Atual (%)</w:t>
            </w:r>
          </w:p>
        </w:tc>
        <w:tc>
          <w:tcPr>
            <w:tcW w:w="1184" w:type="pct"/>
            <w:gridSpan w:val="5"/>
            <w:tcBorders>
              <w:top w:val="single" w:sz="4" w:space="0" w:color="auto"/>
              <w:left w:val="nil"/>
              <w:bottom w:val="single" w:sz="4" w:space="0" w:color="auto"/>
              <w:right w:val="single" w:sz="4" w:space="0" w:color="auto"/>
            </w:tcBorders>
            <w:shd w:val="clear" w:color="auto" w:fill="F2F2F2"/>
            <w:vAlign w:val="center"/>
          </w:tcPr>
          <w:p w14:paraId="64B68EEA"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Certificação Pró-Gestão – Limites Res. 5.272 (%)</w:t>
            </w:r>
          </w:p>
        </w:tc>
        <w:tc>
          <w:tcPr>
            <w:tcW w:w="1086" w:type="pct"/>
            <w:gridSpan w:val="3"/>
            <w:tcBorders>
              <w:top w:val="single" w:sz="4" w:space="0" w:color="auto"/>
              <w:left w:val="nil"/>
              <w:bottom w:val="single" w:sz="4" w:space="0" w:color="auto"/>
              <w:right w:val="single" w:sz="4" w:space="0" w:color="auto"/>
            </w:tcBorders>
            <w:vAlign w:val="center"/>
          </w:tcPr>
          <w:p w14:paraId="4A95918E"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GUANHÃES PREV</w:t>
            </w:r>
          </w:p>
        </w:tc>
      </w:tr>
      <w:tr w:rsidR="00EA17D8" w:rsidRPr="00EA17D8" w14:paraId="08E2821B" w14:textId="77777777" w:rsidTr="00EA17D8">
        <w:trPr>
          <w:trHeight w:val="233"/>
        </w:trPr>
        <w:tc>
          <w:tcPr>
            <w:tcW w:w="552" w:type="pct"/>
            <w:vMerge/>
            <w:vAlign w:val="center"/>
            <w:hideMark/>
          </w:tcPr>
          <w:p w14:paraId="339429DF"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p>
        </w:tc>
        <w:tc>
          <w:tcPr>
            <w:tcW w:w="618" w:type="pct"/>
            <w:vMerge/>
            <w:vAlign w:val="center"/>
            <w:hideMark/>
          </w:tcPr>
          <w:p w14:paraId="5617250E"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p>
        </w:tc>
        <w:tc>
          <w:tcPr>
            <w:tcW w:w="638" w:type="pct"/>
            <w:vMerge/>
            <w:vAlign w:val="center"/>
            <w:hideMark/>
          </w:tcPr>
          <w:p w14:paraId="50F56A25"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p>
        </w:tc>
        <w:tc>
          <w:tcPr>
            <w:tcW w:w="508" w:type="pct"/>
            <w:vMerge/>
            <w:vAlign w:val="center"/>
            <w:hideMark/>
          </w:tcPr>
          <w:p w14:paraId="71F5E208"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p>
        </w:tc>
        <w:tc>
          <w:tcPr>
            <w:tcW w:w="415" w:type="pct"/>
            <w:vMerge/>
            <w:vAlign w:val="center"/>
            <w:hideMark/>
          </w:tcPr>
          <w:p w14:paraId="00ED4FE3"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p>
        </w:tc>
        <w:tc>
          <w:tcPr>
            <w:tcW w:w="212" w:type="pct"/>
            <w:tcBorders>
              <w:top w:val="nil"/>
              <w:left w:val="nil"/>
              <w:bottom w:val="single" w:sz="4" w:space="0" w:color="auto"/>
              <w:right w:val="single" w:sz="4" w:space="0" w:color="auto"/>
            </w:tcBorders>
            <w:shd w:val="clear" w:color="auto" w:fill="F2F2F2"/>
            <w:vAlign w:val="center"/>
            <w:hideMark/>
          </w:tcPr>
          <w:p w14:paraId="2B1E580F"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Sem PG</w:t>
            </w:r>
          </w:p>
        </w:tc>
        <w:tc>
          <w:tcPr>
            <w:tcW w:w="240" w:type="pct"/>
            <w:tcBorders>
              <w:top w:val="nil"/>
              <w:left w:val="nil"/>
              <w:bottom w:val="single" w:sz="4" w:space="0" w:color="auto"/>
              <w:right w:val="single" w:sz="4" w:space="0" w:color="auto"/>
            </w:tcBorders>
            <w:shd w:val="clear" w:color="auto" w:fill="F2F2F2"/>
            <w:vAlign w:val="center"/>
            <w:hideMark/>
          </w:tcPr>
          <w:p w14:paraId="462511D0"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Nível I</w:t>
            </w:r>
          </w:p>
        </w:tc>
        <w:tc>
          <w:tcPr>
            <w:tcW w:w="240" w:type="pct"/>
            <w:tcBorders>
              <w:top w:val="nil"/>
              <w:left w:val="nil"/>
              <w:bottom w:val="single" w:sz="4" w:space="0" w:color="auto"/>
              <w:right w:val="single" w:sz="4" w:space="0" w:color="auto"/>
            </w:tcBorders>
            <w:shd w:val="clear" w:color="auto" w:fill="F2F2F2"/>
            <w:vAlign w:val="center"/>
            <w:hideMark/>
          </w:tcPr>
          <w:p w14:paraId="17294027"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Nível II</w:t>
            </w:r>
          </w:p>
        </w:tc>
        <w:tc>
          <w:tcPr>
            <w:tcW w:w="240" w:type="pct"/>
            <w:tcBorders>
              <w:top w:val="nil"/>
              <w:left w:val="nil"/>
              <w:bottom w:val="single" w:sz="4" w:space="0" w:color="auto"/>
              <w:right w:val="single" w:sz="4" w:space="0" w:color="auto"/>
            </w:tcBorders>
            <w:shd w:val="clear" w:color="auto" w:fill="F2F2F2"/>
            <w:vAlign w:val="center"/>
            <w:hideMark/>
          </w:tcPr>
          <w:p w14:paraId="248EE366"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Nível III</w:t>
            </w:r>
          </w:p>
        </w:tc>
        <w:tc>
          <w:tcPr>
            <w:tcW w:w="252" w:type="pct"/>
            <w:tcBorders>
              <w:top w:val="nil"/>
              <w:left w:val="nil"/>
              <w:bottom w:val="single" w:sz="4" w:space="0" w:color="auto"/>
              <w:right w:val="single" w:sz="4" w:space="0" w:color="auto"/>
            </w:tcBorders>
            <w:shd w:val="clear" w:color="auto" w:fill="F2F2F2"/>
            <w:vAlign w:val="center"/>
            <w:hideMark/>
          </w:tcPr>
          <w:p w14:paraId="18B6819F"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Nível IV</w:t>
            </w:r>
          </w:p>
        </w:tc>
        <w:tc>
          <w:tcPr>
            <w:tcW w:w="322" w:type="pct"/>
            <w:tcBorders>
              <w:top w:val="nil"/>
              <w:left w:val="nil"/>
              <w:bottom w:val="single" w:sz="4" w:space="0" w:color="auto"/>
              <w:right w:val="single" w:sz="4" w:space="0" w:color="auto"/>
            </w:tcBorders>
            <w:vAlign w:val="center"/>
            <w:hideMark/>
          </w:tcPr>
          <w:p w14:paraId="2C9761C4"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 xml:space="preserve">Limite Inferior </w:t>
            </w:r>
            <w:r w:rsidRPr="00EA17D8">
              <w:rPr>
                <w:rFonts w:ascii="Calibri" w:eastAsia="Times New Roman" w:hAnsi="Calibri" w:cs="Calibri"/>
                <w:b/>
                <w:bCs/>
                <w:color w:val="2F5496"/>
                <w:sz w:val="18"/>
                <w:szCs w:val="18"/>
                <w:lang w:eastAsia="pt-BR"/>
              </w:rPr>
              <w:br/>
              <w:t>(%)</w:t>
            </w:r>
          </w:p>
        </w:tc>
        <w:tc>
          <w:tcPr>
            <w:tcW w:w="407" w:type="pct"/>
            <w:tcBorders>
              <w:top w:val="nil"/>
              <w:left w:val="nil"/>
              <w:bottom w:val="single" w:sz="4" w:space="0" w:color="auto"/>
              <w:right w:val="single" w:sz="4" w:space="0" w:color="auto"/>
            </w:tcBorders>
            <w:vAlign w:val="center"/>
            <w:hideMark/>
          </w:tcPr>
          <w:p w14:paraId="468E6E1A"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Estratégia Alvo (%)</w:t>
            </w:r>
          </w:p>
        </w:tc>
        <w:tc>
          <w:tcPr>
            <w:tcW w:w="357" w:type="pct"/>
            <w:tcBorders>
              <w:top w:val="nil"/>
              <w:left w:val="nil"/>
              <w:bottom w:val="single" w:sz="4" w:space="0" w:color="auto"/>
              <w:right w:val="single" w:sz="4" w:space="0" w:color="auto"/>
            </w:tcBorders>
            <w:vAlign w:val="center"/>
            <w:hideMark/>
          </w:tcPr>
          <w:p w14:paraId="6122A360" w14:textId="77777777" w:rsidR="00EA17D8" w:rsidRPr="00EA17D8" w:rsidRDefault="00EA17D8" w:rsidP="00EA17D8">
            <w:pPr>
              <w:spacing w:after="0" w:line="240" w:lineRule="auto"/>
              <w:jc w:val="center"/>
              <w:rPr>
                <w:rFonts w:ascii="Calibri" w:eastAsia="Times New Roman" w:hAnsi="Calibri" w:cs="Calibri"/>
                <w:b/>
                <w:bCs/>
                <w:color w:val="2F5496"/>
                <w:sz w:val="18"/>
                <w:szCs w:val="18"/>
                <w:lang w:eastAsia="pt-BR"/>
              </w:rPr>
            </w:pPr>
            <w:r w:rsidRPr="00EA17D8">
              <w:rPr>
                <w:rFonts w:ascii="Calibri" w:eastAsia="Times New Roman" w:hAnsi="Calibri" w:cs="Calibri"/>
                <w:b/>
                <w:bCs/>
                <w:color w:val="2F5496"/>
                <w:sz w:val="18"/>
                <w:szCs w:val="18"/>
                <w:lang w:eastAsia="pt-BR"/>
              </w:rPr>
              <w:t>Limite Superior (%)</w:t>
            </w:r>
          </w:p>
        </w:tc>
      </w:tr>
      <w:tr w:rsidR="00EA17D8" w:rsidRPr="00EA17D8" w14:paraId="33399B50" w14:textId="77777777" w:rsidTr="00EA17D8">
        <w:trPr>
          <w:trHeight w:val="233"/>
        </w:trPr>
        <w:tc>
          <w:tcPr>
            <w:tcW w:w="552" w:type="pct"/>
            <w:vMerge w:val="restart"/>
            <w:tcBorders>
              <w:top w:val="nil"/>
              <w:left w:val="single" w:sz="4" w:space="0" w:color="auto"/>
              <w:bottom w:val="single" w:sz="4" w:space="0" w:color="auto"/>
              <w:right w:val="single" w:sz="4" w:space="0" w:color="auto"/>
            </w:tcBorders>
            <w:shd w:val="clear" w:color="auto" w:fill="2F5496"/>
            <w:vAlign w:val="center"/>
            <w:hideMark/>
          </w:tcPr>
          <w:p w14:paraId="74A5EC52"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r w:rsidRPr="00EA17D8">
              <w:rPr>
                <w:rFonts w:ascii="Calibri" w:eastAsia="Times New Roman" w:hAnsi="Calibri" w:cs="Calibri"/>
                <w:b/>
                <w:bCs/>
                <w:color w:val="FFFFFF"/>
                <w:sz w:val="18"/>
                <w:szCs w:val="18"/>
                <w:lang w:eastAsia="pt-BR"/>
              </w:rPr>
              <w:t>Renda Fixa</w:t>
            </w:r>
          </w:p>
        </w:tc>
        <w:tc>
          <w:tcPr>
            <w:tcW w:w="618" w:type="pct"/>
            <w:tcBorders>
              <w:top w:val="nil"/>
              <w:left w:val="nil"/>
              <w:bottom w:val="single" w:sz="4" w:space="0" w:color="auto"/>
              <w:right w:val="single" w:sz="4" w:space="0" w:color="auto"/>
            </w:tcBorders>
            <w:vAlign w:val="center"/>
            <w:hideMark/>
          </w:tcPr>
          <w:p w14:paraId="1C67ED9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I</w:t>
            </w:r>
          </w:p>
        </w:tc>
        <w:tc>
          <w:tcPr>
            <w:tcW w:w="638" w:type="pct"/>
            <w:tcBorders>
              <w:top w:val="nil"/>
              <w:left w:val="nil"/>
              <w:bottom w:val="single" w:sz="4" w:space="0" w:color="auto"/>
              <w:right w:val="single" w:sz="4" w:space="0" w:color="auto"/>
            </w:tcBorders>
            <w:vAlign w:val="center"/>
            <w:hideMark/>
          </w:tcPr>
          <w:p w14:paraId="5A119D2E"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RF e ETF 100% TP</w:t>
            </w:r>
          </w:p>
        </w:tc>
        <w:tc>
          <w:tcPr>
            <w:tcW w:w="508" w:type="pct"/>
            <w:tcBorders>
              <w:top w:val="nil"/>
              <w:left w:val="nil"/>
              <w:bottom w:val="single" w:sz="4" w:space="0" w:color="auto"/>
              <w:right w:val="single" w:sz="4" w:space="0" w:color="auto"/>
            </w:tcBorders>
            <w:vAlign w:val="center"/>
          </w:tcPr>
          <w:p w14:paraId="70C7CED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21.127.163,61</w:t>
            </w:r>
          </w:p>
        </w:tc>
        <w:tc>
          <w:tcPr>
            <w:tcW w:w="415" w:type="pct"/>
            <w:tcBorders>
              <w:top w:val="nil"/>
              <w:left w:val="nil"/>
              <w:bottom w:val="single" w:sz="4" w:space="0" w:color="auto"/>
              <w:right w:val="single" w:sz="4" w:space="0" w:color="auto"/>
            </w:tcBorders>
            <w:vAlign w:val="center"/>
          </w:tcPr>
          <w:p w14:paraId="3C56115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46,59%</w:t>
            </w:r>
          </w:p>
        </w:tc>
        <w:tc>
          <w:tcPr>
            <w:tcW w:w="1184" w:type="pct"/>
            <w:gridSpan w:val="5"/>
            <w:tcBorders>
              <w:top w:val="single" w:sz="4" w:space="0" w:color="auto"/>
              <w:left w:val="nil"/>
              <w:bottom w:val="single" w:sz="4" w:space="0" w:color="auto"/>
              <w:right w:val="single" w:sz="4" w:space="0" w:color="auto"/>
            </w:tcBorders>
            <w:shd w:val="clear" w:color="auto" w:fill="F2F2F2"/>
            <w:vAlign w:val="center"/>
            <w:hideMark/>
          </w:tcPr>
          <w:p w14:paraId="4CE4730D"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100,00</w:t>
            </w:r>
          </w:p>
        </w:tc>
        <w:tc>
          <w:tcPr>
            <w:tcW w:w="322" w:type="pct"/>
            <w:tcBorders>
              <w:top w:val="nil"/>
              <w:left w:val="nil"/>
              <w:bottom w:val="single" w:sz="4" w:space="0" w:color="auto"/>
              <w:right w:val="single" w:sz="4" w:space="0" w:color="auto"/>
            </w:tcBorders>
            <w:shd w:val="clear" w:color="auto" w:fill="FFFFFF"/>
            <w:vAlign w:val="center"/>
          </w:tcPr>
          <w:p w14:paraId="731E8CE4" w14:textId="77777777"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Times New Roman" w:hAnsi="Calibri" w:cs="Times New Roman"/>
                <w:color w:val="000000"/>
                <w:sz w:val="16"/>
                <w:szCs w:val="16"/>
                <w:lang w:eastAsia="pt-BR"/>
              </w:rPr>
              <w:t>00,00%</w:t>
            </w:r>
          </w:p>
        </w:tc>
        <w:tc>
          <w:tcPr>
            <w:tcW w:w="407" w:type="pct"/>
            <w:tcBorders>
              <w:top w:val="nil"/>
              <w:left w:val="nil"/>
              <w:bottom w:val="single" w:sz="4" w:space="0" w:color="auto"/>
              <w:right w:val="single" w:sz="4" w:space="0" w:color="auto"/>
            </w:tcBorders>
            <w:shd w:val="clear" w:color="auto" w:fill="FFFFFF"/>
            <w:vAlign w:val="center"/>
          </w:tcPr>
          <w:p w14:paraId="760FF87E" w14:textId="06D22A0B"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Times New Roman" w:hAnsi="Calibri" w:cs="Times New Roman"/>
                <w:color w:val="000000"/>
                <w:sz w:val="16"/>
                <w:szCs w:val="16"/>
                <w:lang w:eastAsia="pt-BR"/>
              </w:rPr>
              <w:t>4</w:t>
            </w:r>
            <w:r w:rsidR="00921A1C">
              <w:rPr>
                <w:rFonts w:ascii="Calibri" w:eastAsia="Times New Roman" w:hAnsi="Calibri" w:cs="Times New Roman"/>
                <w:color w:val="000000"/>
                <w:sz w:val="16"/>
                <w:szCs w:val="16"/>
                <w:lang w:eastAsia="pt-BR"/>
              </w:rPr>
              <w:t>1</w:t>
            </w:r>
            <w:r w:rsidRPr="00EA17D8">
              <w:rPr>
                <w:rFonts w:ascii="Calibri" w:eastAsia="Times New Roman" w:hAnsi="Calibri" w:cs="Times New Roman"/>
                <w:color w:val="000000"/>
                <w:sz w:val="16"/>
                <w:szCs w:val="16"/>
                <w:lang w:eastAsia="pt-BR"/>
              </w:rPr>
              <w:t>,00%</w:t>
            </w:r>
          </w:p>
        </w:tc>
        <w:tc>
          <w:tcPr>
            <w:tcW w:w="357" w:type="pct"/>
            <w:tcBorders>
              <w:top w:val="nil"/>
              <w:left w:val="nil"/>
              <w:bottom w:val="single" w:sz="4" w:space="0" w:color="auto"/>
              <w:right w:val="single" w:sz="4" w:space="0" w:color="auto"/>
            </w:tcBorders>
            <w:shd w:val="clear" w:color="auto" w:fill="FFFFFF"/>
            <w:vAlign w:val="center"/>
          </w:tcPr>
          <w:p w14:paraId="5DBCE8BE" w14:textId="77777777"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Calibri" w:hAnsi="Calibri" w:cs="Times New Roman"/>
                <w:sz w:val="16"/>
                <w:szCs w:val="16"/>
              </w:rPr>
              <w:t>90,00%</w:t>
            </w:r>
          </w:p>
        </w:tc>
      </w:tr>
      <w:tr w:rsidR="00EA17D8" w:rsidRPr="00EA17D8" w14:paraId="1D5C5978" w14:textId="77777777" w:rsidTr="00EA17D8">
        <w:trPr>
          <w:trHeight w:val="233"/>
        </w:trPr>
        <w:tc>
          <w:tcPr>
            <w:tcW w:w="552" w:type="pct"/>
            <w:vMerge/>
            <w:vAlign w:val="center"/>
            <w:hideMark/>
          </w:tcPr>
          <w:p w14:paraId="4408212E"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06EDC8B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II</w:t>
            </w:r>
          </w:p>
        </w:tc>
        <w:tc>
          <w:tcPr>
            <w:tcW w:w="638" w:type="pct"/>
            <w:tcBorders>
              <w:top w:val="nil"/>
              <w:left w:val="nil"/>
              <w:bottom w:val="single" w:sz="4" w:space="0" w:color="auto"/>
              <w:right w:val="single" w:sz="4" w:space="0" w:color="auto"/>
            </w:tcBorders>
            <w:vAlign w:val="center"/>
            <w:hideMark/>
          </w:tcPr>
          <w:p w14:paraId="6B3ACB21"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Títulos Públicos (of prim ou plataf eletr)</w:t>
            </w:r>
          </w:p>
        </w:tc>
        <w:tc>
          <w:tcPr>
            <w:tcW w:w="508" w:type="pct"/>
            <w:tcBorders>
              <w:top w:val="nil"/>
              <w:left w:val="nil"/>
              <w:bottom w:val="single" w:sz="4" w:space="0" w:color="auto"/>
              <w:right w:val="single" w:sz="4" w:space="0" w:color="auto"/>
            </w:tcBorders>
            <w:vAlign w:val="center"/>
          </w:tcPr>
          <w:p w14:paraId="498FB45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5.680.934,39</w:t>
            </w:r>
          </w:p>
        </w:tc>
        <w:tc>
          <w:tcPr>
            <w:tcW w:w="415" w:type="pct"/>
            <w:tcBorders>
              <w:top w:val="nil"/>
              <w:left w:val="nil"/>
              <w:bottom w:val="single" w:sz="4" w:space="0" w:color="auto"/>
              <w:right w:val="single" w:sz="4" w:space="0" w:color="auto"/>
            </w:tcBorders>
            <w:vAlign w:val="center"/>
          </w:tcPr>
          <w:p w14:paraId="2906311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12,53%</w:t>
            </w:r>
          </w:p>
        </w:tc>
        <w:tc>
          <w:tcPr>
            <w:tcW w:w="1184" w:type="pct"/>
            <w:gridSpan w:val="5"/>
            <w:tcBorders>
              <w:top w:val="single" w:sz="4" w:space="0" w:color="auto"/>
              <w:left w:val="nil"/>
              <w:bottom w:val="single" w:sz="4" w:space="0" w:color="auto"/>
              <w:right w:val="single" w:sz="4" w:space="0" w:color="auto"/>
            </w:tcBorders>
            <w:shd w:val="clear" w:color="auto" w:fill="F2F2F2"/>
            <w:vAlign w:val="center"/>
            <w:hideMark/>
          </w:tcPr>
          <w:p w14:paraId="6D97189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100,00</w:t>
            </w:r>
          </w:p>
        </w:tc>
        <w:tc>
          <w:tcPr>
            <w:tcW w:w="322" w:type="pct"/>
            <w:tcBorders>
              <w:top w:val="nil"/>
              <w:left w:val="nil"/>
              <w:bottom w:val="single" w:sz="4" w:space="0" w:color="auto"/>
              <w:right w:val="single" w:sz="4" w:space="0" w:color="auto"/>
            </w:tcBorders>
            <w:shd w:val="clear" w:color="auto" w:fill="FFFFFF"/>
            <w:vAlign w:val="center"/>
          </w:tcPr>
          <w:p w14:paraId="58988BF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6F3E547A" w14:textId="77777777" w:rsidR="00EA17D8" w:rsidRPr="00EA17D8" w:rsidRDefault="00EA17D8" w:rsidP="00EA17D8">
            <w:pPr>
              <w:spacing w:after="0" w:line="240" w:lineRule="auto"/>
              <w:jc w:val="center"/>
              <w:rPr>
                <w:rFonts w:ascii="Calibri" w:eastAsia="Times New Roman" w:hAnsi="Calibri" w:cs="Times New Roman"/>
                <w:color w:val="000000"/>
                <w:sz w:val="16"/>
                <w:szCs w:val="16"/>
                <w:lang w:eastAsia="pt-BR"/>
              </w:rPr>
            </w:pPr>
            <w:r w:rsidRPr="00EA17D8">
              <w:rPr>
                <w:rFonts w:ascii="Calibri" w:eastAsia="Times New Roman" w:hAnsi="Calibri" w:cs="Times New Roman"/>
                <w:color w:val="000000"/>
                <w:sz w:val="16"/>
                <w:szCs w:val="16"/>
                <w:lang w:eastAsia="pt-BR"/>
              </w:rPr>
              <w:t>10,00%</w:t>
            </w:r>
          </w:p>
        </w:tc>
        <w:tc>
          <w:tcPr>
            <w:tcW w:w="357" w:type="pct"/>
            <w:tcBorders>
              <w:top w:val="nil"/>
              <w:left w:val="nil"/>
              <w:bottom w:val="single" w:sz="4" w:space="0" w:color="auto"/>
              <w:right w:val="single" w:sz="4" w:space="0" w:color="auto"/>
            </w:tcBorders>
            <w:shd w:val="clear" w:color="auto" w:fill="FFFFFF"/>
            <w:vAlign w:val="center"/>
          </w:tcPr>
          <w:p w14:paraId="453BACAE" w14:textId="77777777" w:rsidR="00EA17D8" w:rsidRPr="00EA17D8" w:rsidRDefault="00EA17D8" w:rsidP="00EA17D8">
            <w:pPr>
              <w:spacing w:after="0" w:line="240" w:lineRule="auto"/>
              <w:jc w:val="center"/>
              <w:rPr>
                <w:rFonts w:ascii="Calibri" w:eastAsia="Calibri" w:hAnsi="Calibri" w:cs="Times New Roman"/>
                <w:sz w:val="16"/>
                <w:szCs w:val="16"/>
                <w:lang w:eastAsia="pt-BR"/>
              </w:rPr>
            </w:pPr>
            <w:r w:rsidRPr="00EA17D8">
              <w:rPr>
                <w:rFonts w:ascii="Calibri" w:eastAsia="Calibri" w:hAnsi="Calibri" w:cs="Times New Roman"/>
                <w:sz w:val="16"/>
                <w:szCs w:val="16"/>
              </w:rPr>
              <w:t>50,00%</w:t>
            </w:r>
          </w:p>
        </w:tc>
      </w:tr>
      <w:tr w:rsidR="00EA17D8" w:rsidRPr="00EA17D8" w14:paraId="3074DCFC" w14:textId="77777777" w:rsidTr="00EA17D8">
        <w:trPr>
          <w:trHeight w:val="233"/>
        </w:trPr>
        <w:tc>
          <w:tcPr>
            <w:tcW w:w="552" w:type="pct"/>
            <w:vMerge/>
            <w:vAlign w:val="center"/>
            <w:hideMark/>
          </w:tcPr>
          <w:p w14:paraId="7AE1044A"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256E97D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III</w:t>
            </w:r>
          </w:p>
        </w:tc>
        <w:tc>
          <w:tcPr>
            <w:tcW w:w="638" w:type="pct"/>
            <w:tcBorders>
              <w:top w:val="nil"/>
              <w:left w:val="nil"/>
              <w:bottom w:val="single" w:sz="4" w:space="0" w:color="auto"/>
              <w:right w:val="single" w:sz="4" w:space="0" w:color="auto"/>
            </w:tcBorders>
            <w:vAlign w:val="center"/>
            <w:hideMark/>
          </w:tcPr>
          <w:p w14:paraId="1EC346C2"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Títulos Públicos (balcão)</w:t>
            </w:r>
          </w:p>
        </w:tc>
        <w:tc>
          <w:tcPr>
            <w:tcW w:w="508" w:type="pct"/>
            <w:tcBorders>
              <w:top w:val="nil"/>
              <w:left w:val="nil"/>
              <w:bottom w:val="single" w:sz="4" w:space="0" w:color="auto"/>
              <w:right w:val="single" w:sz="4" w:space="0" w:color="auto"/>
            </w:tcBorders>
            <w:vAlign w:val="center"/>
          </w:tcPr>
          <w:p w14:paraId="447E306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3814CF6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vAlign w:val="center"/>
            <w:hideMark/>
          </w:tcPr>
          <w:p w14:paraId="11650A9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971" w:type="pct"/>
            <w:gridSpan w:val="4"/>
            <w:tcBorders>
              <w:top w:val="single" w:sz="4" w:space="0" w:color="auto"/>
              <w:left w:val="nil"/>
              <w:bottom w:val="single" w:sz="4" w:space="0" w:color="auto"/>
              <w:right w:val="single" w:sz="4" w:space="0" w:color="auto"/>
            </w:tcBorders>
            <w:shd w:val="clear" w:color="auto" w:fill="F2F2F2"/>
            <w:vAlign w:val="center"/>
            <w:hideMark/>
          </w:tcPr>
          <w:p w14:paraId="6C5425D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100,00</w:t>
            </w:r>
          </w:p>
        </w:tc>
        <w:tc>
          <w:tcPr>
            <w:tcW w:w="322" w:type="pct"/>
            <w:tcBorders>
              <w:top w:val="nil"/>
              <w:left w:val="nil"/>
              <w:bottom w:val="single" w:sz="4" w:space="0" w:color="auto"/>
              <w:right w:val="single" w:sz="4" w:space="0" w:color="auto"/>
            </w:tcBorders>
            <w:shd w:val="clear" w:color="auto" w:fill="FFFFFF"/>
            <w:vAlign w:val="center"/>
          </w:tcPr>
          <w:p w14:paraId="733C5A8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6D6AF54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3B5113E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sz w:val="16"/>
                <w:szCs w:val="16"/>
              </w:rPr>
              <w:t>0,00%</w:t>
            </w:r>
          </w:p>
        </w:tc>
      </w:tr>
      <w:tr w:rsidR="00EA17D8" w:rsidRPr="00EA17D8" w14:paraId="553327B1" w14:textId="77777777" w:rsidTr="00EA17D8">
        <w:trPr>
          <w:trHeight w:val="233"/>
        </w:trPr>
        <w:tc>
          <w:tcPr>
            <w:tcW w:w="552" w:type="pct"/>
            <w:vMerge/>
            <w:vAlign w:val="center"/>
            <w:hideMark/>
          </w:tcPr>
          <w:p w14:paraId="0E4E6A25"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714AC29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IV</w:t>
            </w:r>
          </w:p>
        </w:tc>
        <w:tc>
          <w:tcPr>
            <w:tcW w:w="638" w:type="pct"/>
            <w:tcBorders>
              <w:top w:val="nil"/>
              <w:left w:val="nil"/>
              <w:bottom w:val="single" w:sz="4" w:space="0" w:color="auto"/>
              <w:right w:val="single" w:sz="4" w:space="0" w:color="auto"/>
            </w:tcBorders>
            <w:vAlign w:val="center"/>
            <w:hideMark/>
          </w:tcPr>
          <w:p w14:paraId="5C170632"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Op Compromissadas</w:t>
            </w:r>
          </w:p>
        </w:tc>
        <w:tc>
          <w:tcPr>
            <w:tcW w:w="508" w:type="pct"/>
            <w:tcBorders>
              <w:top w:val="nil"/>
              <w:left w:val="nil"/>
              <w:bottom w:val="single" w:sz="4" w:space="0" w:color="auto"/>
              <w:right w:val="single" w:sz="4" w:space="0" w:color="auto"/>
            </w:tcBorders>
            <w:vAlign w:val="center"/>
          </w:tcPr>
          <w:p w14:paraId="7A559DF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419A7CA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vAlign w:val="center"/>
            <w:hideMark/>
          </w:tcPr>
          <w:p w14:paraId="5EACDDD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971" w:type="pct"/>
            <w:gridSpan w:val="4"/>
            <w:tcBorders>
              <w:top w:val="single" w:sz="4" w:space="0" w:color="auto"/>
              <w:left w:val="nil"/>
              <w:bottom w:val="single" w:sz="4" w:space="0" w:color="auto"/>
              <w:right w:val="single" w:sz="4" w:space="0" w:color="auto"/>
            </w:tcBorders>
            <w:shd w:val="clear" w:color="auto" w:fill="F2F2F2"/>
            <w:vAlign w:val="center"/>
            <w:hideMark/>
          </w:tcPr>
          <w:p w14:paraId="28C6A23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5,00</w:t>
            </w:r>
          </w:p>
        </w:tc>
        <w:tc>
          <w:tcPr>
            <w:tcW w:w="322" w:type="pct"/>
            <w:tcBorders>
              <w:top w:val="nil"/>
              <w:left w:val="nil"/>
              <w:bottom w:val="single" w:sz="4" w:space="0" w:color="auto"/>
              <w:right w:val="single" w:sz="4" w:space="0" w:color="auto"/>
            </w:tcBorders>
            <w:shd w:val="clear" w:color="auto" w:fill="FFFFFF"/>
            <w:vAlign w:val="center"/>
          </w:tcPr>
          <w:p w14:paraId="674B265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490C026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6CC4CE8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sz w:val="16"/>
                <w:szCs w:val="16"/>
              </w:rPr>
              <w:t>0,00%</w:t>
            </w:r>
          </w:p>
        </w:tc>
      </w:tr>
      <w:tr w:rsidR="00EA17D8" w:rsidRPr="00EA17D8" w14:paraId="63B97320" w14:textId="77777777" w:rsidTr="00EA17D8">
        <w:trPr>
          <w:trHeight w:val="233"/>
        </w:trPr>
        <w:tc>
          <w:tcPr>
            <w:tcW w:w="552" w:type="pct"/>
            <w:vMerge/>
            <w:vAlign w:val="center"/>
            <w:hideMark/>
          </w:tcPr>
          <w:p w14:paraId="2686A2D2"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16210CE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V</w:t>
            </w:r>
          </w:p>
        </w:tc>
        <w:tc>
          <w:tcPr>
            <w:tcW w:w="638" w:type="pct"/>
            <w:tcBorders>
              <w:top w:val="nil"/>
              <w:left w:val="nil"/>
              <w:bottom w:val="single" w:sz="4" w:space="0" w:color="auto"/>
              <w:right w:val="single" w:sz="4" w:space="0" w:color="auto"/>
            </w:tcBorders>
            <w:vAlign w:val="center"/>
            <w:hideMark/>
          </w:tcPr>
          <w:p w14:paraId="0CF81598"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Renda Fixa e ETF</w:t>
            </w:r>
          </w:p>
        </w:tc>
        <w:tc>
          <w:tcPr>
            <w:tcW w:w="508" w:type="pct"/>
            <w:tcBorders>
              <w:top w:val="nil"/>
              <w:left w:val="nil"/>
              <w:bottom w:val="single" w:sz="4" w:space="0" w:color="auto"/>
              <w:right w:val="single" w:sz="4" w:space="0" w:color="auto"/>
            </w:tcBorders>
            <w:vAlign w:val="center"/>
          </w:tcPr>
          <w:p w14:paraId="2461136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13.006.307,16</w:t>
            </w:r>
          </w:p>
        </w:tc>
        <w:tc>
          <w:tcPr>
            <w:tcW w:w="415" w:type="pct"/>
            <w:tcBorders>
              <w:top w:val="nil"/>
              <w:left w:val="nil"/>
              <w:bottom w:val="single" w:sz="4" w:space="0" w:color="auto"/>
              <w:right w:val="single" w:sz="4" w:space="0" w:color="auto"/>
            </w:tcBorders>
            <w:vAlign w:val="center"/>
          </w:tcPr>
          <w:p w14:paraId="3B313BB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28,68%</w:t>
            </w:r>
          </w:p>
        </w:tc>
        <w:tc>
          <w:tcPr>
            <w:tcW w:w="212" w:type="pct"/>
            <w:tcBorders>
              <w:top w:val="nil"/>
              <w:left w:val="nil"/>
              <w:bottom w:val="single" w:sz="4" w:space="0" w:color="auto"/>
              <w:right w:val="single" w:sz="4" w:space="0" w:color="auto"/>
            </w:tcBorders>
            <w:noWrap/>
            <w:vAlign w:val="center"/>
            <w:hideMark/>
          </w:tcPr>
          <w:p w14:paraId="6ACBCBC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27550F9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732" w:type="pct"/>
            <w:gridSpan w:val="3"/>
            <w:tcBorders>
              <w:top w:val="single" w:sz="4" w:space="0" w:color="auto"/>
              <w:left w:val="nil"/>
              <w:bottom w:val="single" w:sz="4" w:space="0" w:color="auto"/>
              <w:right w:val="single" w:sz="4" w:space="0" w:color="auto"/>
            </w:tcBorders>
            <w:shd w:val="clear" w:color="auto" w:fill="F2F2F2"/>
            <w:vAlign w:val="center"/>
            <w:hideMark/>
          </w:tcPr>
          <w:p w14:paraId="0543272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80,00</w:t>
            </w:r>
          </w:p>
        </w:tc>
        <w:tc>
          <w:tcPr>
            <w:tcW w:w="322" w:type="pct"/>
            <w:tcBorders>
              <w:top w:val="nil"/>
              <w:left w:val="nil"/>
              <w:bottom w:val="single" w:sz="4" w:space="0" w:color="auto"/>
              <w:right w:val="single" w:sz="4" w:space="0" w:color="auto"/>
            </w:tcBorders>
            <w:shd w:val="clear" w:color="auto" w:fill="FFFFFF"/>
            <w:vAlign w:val="center"/>
          </w:tcPr>
          <w:p w14:paraId="7C412E0C" w14:textId="77777777"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Times New Roman" w:hAnsi="Calibri" w:cs="Times New Roman"/>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6B90755F" w14:textId="77777777" w:rsidR="00EA17D8" w:rsidRPr="00EA17D8" w:rsidRDefault="00EA17D8" w:rsidP="00EA17D8">
            <w:pPr>
              <w:spacing w:after="0" w:line="240" w:lineRule="auto"/>
              <w:jc w:val="center"/>
              <w:rPr>
                <w:rFonts w:ascii="Calibri" w:eastAsia="Times New Roman" w:hAnsi="Calibri" w:cs="Times New Roman"/>
                <w:color w:val="000000"/>
                <w:sz w:val="16"/>
                <w:szCs w:val="16"/>
                <w:lang w:eastAsia="pt-BR"/>
              </w:rPr>
            </w:pPr>
            <w:r w:rsidRPr="00EA17D8">
              <w:rPr>
                <w:rFonts w:ascii="Calibri" w:eastAsia="Times New Roman" w:hAnsi="Calibri" w:cs="Times New Roman"/>
                <w:color w:val="000000"/>
                <w:sz w:val="16"/>
                <w:szCs w:val="16"/>
                <w:lang w:eastAsia="pt-BR"/>
              </w:rPr>
              <w:t>36,00%</w:t>
            </w:r>
          </w:p>
        </w:tc>
        <w:tc>
          <w:tcPr>
            <w:tcW w:w="357" w:type="pct"/>
            <w:tcBorders>
              <w:top w:val="nil"/>
              <w:left w:val="nil"/>
              <w:bottom w:val="single" w:sz="4" w:space="0" w:color="auto"/>
              <w:right w:val="single" w:sz="4" w:space="0" w:color="auto"/>
            </w:tcBorders>
            <w:shd w:val="clear" w:color="auto" w:fill="FFFFFF"/>
            <w:vAlign w:val="center"/>
          </w:tcPr>
          <w:p w14:paraId="1FF3B6D3" w14:textId="77777777" w:rsidR="00EA17D8" w:rsidRPr="00EA17D8" w:rsidRDefault="00EA17D8" w:rsidP="00EA17D8">
            <w:pPr>
              <w:spacing w:after="0" w:line="240" w:lineRule="auto"/>
              <w:jc w:val="center"/>
              <w:rPr>
                <w:rFonts w:ascii="Calibri" w:eastAsia="Calibri" w:hAnsi="Calibri" w:cs="Times New Roman"/>
                <w:sz w:val="16"/>
                <w:szCs w:val="16"/>
                <w:lang w:eastAsia="pt-BR"/>
              </w:rPr>
            </w:pPr>
            <w:r w:rsidRPr="00EA17D8">
              <w:rPr>
                <w:rFonts w:ascii="Calibri" w:eastAsia="Calibri" w:hAnsi="Calibri" w:cs="Times New Roman"/>
                <w:sz w:val="16"/>
                <w:szCs w:val="16"/>
              </w:rPr>
              <w:t>70,00%</w:t>
            </w:r>
          </w:p>
        </w:tc>
      </w:tr>
      <w:tr w:rsidR="00EA17D8" w:rsidRPr="00EA17D8" w14:paraId="05B6391F" w14:textId="77777777" w:rsidTr="00EA17D8">
        <w:trPr>
          <w:trHeight w:val="233"/>
        </w:trPr>
        <w:tc>
          <w:tcPr>
            <w:tcW w:w="552" w:type="pct"/>
            <w:vMerge/>
            <w:vAlign w:val="center"/>
            <w:hideMark/>
          </w:tcPr>
          <w:p w14:paraId="5C826E7C"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12D57F6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VI</w:t>
            </w:r>
          </w:p>
        </w:tc>
        <w:tc>
          <w:tcPr>
            <w:tcW w:w="638" w:type="pct"/>
            <w:tcBorders>
              <w:top w:val="nil"/>
              <w:left w:val="nil"/>
              <w:bottom w:val="single" w:sz="4" w:space="0" w:color="auto"/>
              <w:right w:val="single" w:sz="4" w:space="0" w:color="auto"/>
            </w:tcBorders>
            <w:vAlign w:val="center"/>
            <w:hideMark/>
          </w:tcPr>
          <w:p w14:paraId="2385BC5B"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Ativos Bancários</w:t>
            </w:r>
          </w:p>
        </w:tc>
        <w:tc>
          <w:tcPr>
            <w:tcW w:w="508" w:type="pct"/>
            <w:tcBorders>
              <w:top w:val="nil"/>
              <w:left w:val="nil"/>
              <w:bottom w:val="single" w:sz="4" w:space="0" w:color="auto"/>
              <w:right w:val="single" w:sz="4" w:space="0" w:color="auto"/>
            </w:tcBorders>
            <w:vAlign w:val="center"/>
          </w:tcPr>
          <w:p w14:paraId="5C97C76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2.731.404,45</w:t>
            </w:r>
          </w:p>
        </w:tc>
        <w:tc>
          <w:tcPr>
            <w:tcW w:w="415" w:type="pct"/>
            <w:tcBorders>
              <w:top w:val="nil"/>
              <w:left w:val="nil"/>
              <w:bottom w:val="single" w:sz="4" w:space="0" w:color="auto"/>
              <w:right w:val="single" w:sz="4" w:space="0" w:color="auto"/>
            </w:tcBorders>
            <w:vAlign w:val="center"/>
          </w:tcPr>
          <w:p w14:paraId="45C973D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6,02%</w:t>
            </w:r>
          </w:p>
        </w:tc>
        <w:tc>
          <w:tcPr>
            <w:tcW w:w="212" w:type="pct"/>
            <w:tcBorders>
              <w:top w:val="nil"/>
              <w:left w:val="nil"/>
              <w:bottom w:val="single" w:sz="4" w:space="0" w:color="auto"/>
              <w:right w:val="single" w:sz="4" w:space="0" w:color="auto"/>
            </w:tcBorders>
            <w:noWrap/>
            <w:vAlign w:val="center"/>
            <w:hideMark/>
          </w:tcPr>
          <w:p w14:paraId="5C6CD1A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55B39409"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732" w:type="pct"/>
            <w:gridSpan w:val="3"/>
            <w:tcBorders>
              <w:top w:val="single" w:sz="4" w:space="0" w:color="auto"/>
              <w:left w:val="nil"/>
              <w:bottom w:val="single" w:sz="4" w:space="0" w:color="auto"/>
              <w:right w:val="single" w:sz="4" w:space="0" w:color="auto"/>
            </w:tcBorders>
            <w:shd w:val="clear" w:color="auto" w:fill="F2F2F2"/>
            <w:vAlign w:val="center"/>
            <w:hideMark/>
          </w:tcPr>
          <w:p w14:paraId="6543091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20,00</w:t>
            </w:r>
          </w:p>
        </w:tc>
        <w:tc>
          <w:tcPr>
            <w:tcW w:w="322" w:type="pct"/>
            <w:tcBorders>
              <w:top w:val="nil"/>
              <w:left w:val="nil"/>
              <w:bottom w:val="single" w:sz="4" w:space="0" w:color="auto"/>
              <w:right w:val="single" w:sz="4" w:space="0" w:color="auto"/>
            </w:tcBorders>
            <w:shd w:val="clear" w:color="auto" w:fill="FFFFFF"/>
            <w:vAlign w:val="center"/>
          </w:tcPr>
          <w:p w14:paraId="57C09FC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13BF839F" w14:textId="77777777" w:rsidR="00EA17D8" w:rsidRPr="00EA17D8" w:rsidRDefault="00EA17D8" w:rsidP="00EA17D8">
            <w:pPr>
              <w:spacing w:after="0" w:line="240" w:lineRule="auto"/>
              <w:jc w:val="center"/>
              <w:rPr>
                <w:rFonts w:ascii="Calibri" w:eastAsia="Times New Roman" w:hAnsi="Calibri" w:cs="Times New Roman"/>
                <w:color w:val="000000"/>
                <w:sz w:val="16"/>
                <w:szCs w:val="16"/>
                <w:lang w:eastAsia="pt-BR"/>
              </w:rPr>
            </w:pPr>
            <w:r w:rsidRPr="00EA17D8">
              <w:rPr>
                <w:rFonts w:ascii="Calibri" w:eastAsia="Times New Roman" w:hAnsi="Calibri" w:cs="Times New Roman"/>
                <w:color w:val="000000"/>
                <w:sz w:val="16"/>
                <w:szCs w:val="16"/>
                <w:lang w:eastAsia="pt-BR"/>
              </w:rPr>
              <w:t>6,50%</w:t>
            </w:r>
          </w:p>
        </w:tc>
        <w:tc>
          <w:tcPr>
            <w:tcW w:w="357" w:type="pct"/>
            <w:tcBorders>
              <w:top w:val="nil"/>
              <w:left w:val="nil"/>
              <w:bottom w:val="single" w:sz="4" w:space="0" w:color="auto"/>
              <w:right w:val="single" w:sz="4" w:space="0" w:color="auto"/>
            </w:tcBorders>
            <w:shd w:val="clear" w:color="auto" w:fill="FFFFFF"/>
            <w:vAlign w:val="center"/>
          </w:tcPr>
          <w:p w14:paraId="35291FD0" w14:textId="77777777" w:rsidR="00EA17D8" w:rsidRPr="00EA17D8" w:rsidRDefault="00EA17D8" w:rsidP="00EA17D8">
            <w:pPr>
              <w:spacing w:after="0" w:line="240" w:lineRule="auto"/>
              <w:jc w:val="center"/>
              <w:rPr>
                <w:rFonts w:ascii="Calibri" w:eastAsia="Calibri" w:hAnsi="Calibri" w:cs="Times New Roman"/>
                <w:sz w:val="16"/>
                <w:szCs w:val="16"/>
                <w:lang w:eastAsia="pt-BR"/>
              </w:rPr>
            </w:pPr>
            <w:r w:rsidRPr="00EA17D8">
              <w:rPr>
                <w:rFonts w:ascii="Calibri" w:eastAsia="Calibri" w:hAnsi="Calibri" w:cs="Times New Roman"/>
                <w:sz w:val="16"/>
                <w:szCs w:val="16"/>
              </w:rPr>
              <w:t>20,00%</w:t>
            </w:r>
          </w:p>
        </w:tc>
      </w:tr>
      <w:tr w:rsidR="00EA17D8" w:rsidRPr="00EA17D8" w14:paraId="6BA9381F" w14:textId="77777777" w:rsidTr="00EA17D8">
        <w:trPr>
          <w:trHeight w:val="233"/>
        </w:trPr>
        <w:tc>
          <w:tcPr>
            <w:tcW w:w="552" w:type="pct"/>
            <w:vMerge/>
            <w:vAlign w:val="center"/>
            <w:hideMark/>
          </w:tcPr>
          <w:p w14:paraId="3ABA0379"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0D240F0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VII</w:t>
            </w:r>
          </w:p>
        </w:tc>
        <w:tc>
          <w:tcPr>
            <w:tcW w:w="638" w:type="pct"/>
            <w:tcBorders>
              <w:top w:val="nil"/>
              <w:left w:val="nil"/>
              <w:bottom w:val="single" w:sz="4" w:space="0" w:color="auto"/>
              <w:right w:val="single" w:sz="4" w:space="0" w:color="auto"/>
            </w:tcBorders>
            <w:vAlign w:val="center"/>
            <w:hideMark/>
          </w:tcPr>
          <w:p w14:paraId="3B623440"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RF "Crédito Privado”</w:t>
            </w:r>
          </w:p>
        </w:tc>
        <w:tc>
          <w:tcPr>
            <w:tcW w:w="508" w:type="pct"/>
            <w:tcBorders>
              <w:top w:val="nil"/>
              <w:left w:val="nil"/>
              <w:bottom w:val="single" w:sz="4" w:space="0" w:color="auto"/>
              <w:right w:val="single" w:sz="4" w:space="0" w:color="auto"/>
            </w:tcBorders>
            <w:vAlign w:val="center"/>
          </w:tcPr>
          <w:p w14:paraId="417B3C8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2FCD4F7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vAlign w:val="center"/>
            <w:hideMark/>
          </w:tcPr>
          <w:p w14:paraId="726DAAC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743E1A8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0D8D167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78A2E60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20,00</w:t>
            </w:r>
          </w:p>
        </w:tc>
        <w:tc>
          <w:tcPr>
            <w:tcW w:w="322" w:type="pct"/>
            <w:tcBorders>
              <w:top w:val="nil"/>
              <w:left w:val="nil"/>
              <w:bottom w:val="single" w:sz="4" w:space="0" w:color="auto"/>
              <w:right w:val="single" w:sz="4" w:space="0" w:color="auto"/>
            </w:tcBorders>
            <w:shd w:val="clear" w:color="auto" w:fill="FFFFFF"/>
            <w:vAlign w:val="center"/>
          </w:tcPr>
          <w:p w14:paraId="1C60B4B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45011C8E" w14:textId="77777777"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Times New Roman" w:hAnsi="Calibri" w:cs="Times New Roman"/>
                <w:color w:val="000000"/>
                <w:sz w:val="16"/>
                <w:szCs w:val="16"/>
                <w:lang w:eastAsia="pt-BR"/>
              </w:rPr>
              <w:t>1,00%</w:t>
            </w:r>
          </w:p>
        </w:tc>
        <w:tc>
          <w:tcPr>
            <w:tcW w:w="357" w:type="pct"/>
            <w:tcBorders>
              <w:top w:val="nil"/>
              <w:left w:val="nil"/>
              <w:bottom w:val="single" w:sz="4" w:space="0" w:color="auto"/>
              <w:right w:val="single" w:sz="4" w:space="0" w:color="auto"/>
            </w:tcBorders>
            <w:shd w:val="clear" w:color="auto" w:fill="FFFFFF"/>
            <w:vAlign w:val="center"/>
          </w:tcPr>
          <w:p w14:paraId="56B15225" w14:textId="77777777" w:rsidR="00EA17D8" w:rsidRPr="00EA17D8" w:rsidRDefault="00EA17D8" w:rsidP="00EA17D8">
            <w:pPr>
              <w:spacing w:after="0" w:line="240" w:lineRule="auto"/>
              <w:jc w:val="center"/>
              <w:rPr>
                <w:rFonts w:ascii="Calibri" w:eastAsia="Calibri" w:hAnsi="Calibri" w:cs="Times New Roman"/>
                <w:sz w:val="16"/>
                <w:szCs w:val="16"/>
                <w:lang w:eastAsia="pt-BR"/>
              </w:rPr>
            </w:pPr>
            <w:r w:rsidRPr="00EA17D8">
              <w:rPr>
                <w:rFonts w:ascii="Calibri" w:eastAsia="Calibri" w:hAnsi="Calibri" w:cs="Times New Roman"/>
                <w:sz w:val="16"/>
                <w:szCs w:val="16"/>
              </w:rPr>
              <w:t>10,00%</w:t>
            </w:r>
          </w:p>
        </w:tc>
      </w:tr>
      <w:tr w:rsidR="00EA17D8" w:rsidRPr="00EA17D8" w14:paraId="21A1AAEA" w14:textId="77777777" w:rsidTr="00EA17D8">
        <w:trPr>
          <w:trHeight w:val="233"/>
        </w:trPr>
        <w:tc>
          <w:tcPr>
            <w:tcW w:w="552" w:type="pct"/>
            <w:vMerge/>
            <w:vAlign w:val="center"/>
            <w:hideMark/>
          </w:tcPr>
          <w:p w14:paraId="55DADF91"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48BFA38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VIII</w:t>
            </w:r>
          </w:p>
        </w:tc>
        <w:tc>
          <w:tcPr>
            <w:tcW w:w="638" w:type="pct"/>
            <w:tcBorders>
              <w:top w:val="nil"/>
              <w:left w:val="nil"/>
              <w:bottom w:val="single" w:sz="4" w:space="0" w:color="auto"/>
              <w:right w:val="single" w:sz="4" w:space="0" w:color="auto"/>
            </w:tcBorders>
            <w:noWrap/>
            <w:vAlign w:val="center"/>
            <w:hideMark/>
          </w:tcPr>
          <w:p w14:paraId="7AF05FEE"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val="en-US" w:eastAsia="pt-BR"/>
              </w:rPr>
              <w:t>FI "Debentures”</w:t>
            </w:r>
          </w:p>
        </w:tc>
        <w:tc>
          <w:tcPr>
            <w:tcW w:w="508" w:type="pct"/>
            <w:tcBorders>
              <w:top w:val="nil"/>
              <w:left w:val="nil"/>
              <w:bottom w:val="single" w:sz="4" w:space="0" w:color="auto"/>
              <w:right w:val="single" w:sz="4" w:space="0" w:color="auto"/>
            </w:tcBorders>
            <w:vAlign w:val="center"/>
          </w:tcPr>
          <w:p w14:paraId="729D260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11C871B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vAlign w:val="center"/>
            <w:hideMark/>
          </w:tcPr>
          <w:p w14:paraId="51BE987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17EB450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37C2E6F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4B22928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20,00</w:t>
            </w:r>
          </w:p>
        </w:tc>
        <w:tc>
          <w:tcPr>
            <w:tcW w:w="322" w:type="pct"/>
            <w:tcBorders>
              <w:top w:val="nil"/>
              <w:left w:val="nil"/>
              <w:bottom w:val="single" w:sz="4" w:space="0" w:color="auto"/>
              <w:right w:val="single" w:sz="4" w:space="0" w:color="auto"/>
            </w:tcBorders>
            <w:shd w:val="clear" w:color="auto" w:fill="FFFFFF"/>
            <w:vAlign w:val="center"/>
          </w:tcPr>
          <w:p w14:paraId="085B285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2C287F4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28A6CA0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sz w:val="16"/>
                <w:szCs w:val="16"/>
              </w:rPr>
              <w:t>0,00%</w:t>
            </w:r>
          </w:p>
        </w:tc>
      </w:tr>
      <w:tr w:rsidR="00EA17D8" w:rsidRPr="00EA17D8" w14:paraId="0131A827" w14:textId="77777777" w:rsidTr="00EA17D8">
        <w:trPr>
          <w:trHeight w:val="233"/>
        </w:trPr>
        <w:tc>
          <w:tcPr>
            <w:tcW w:w="552" w:type="pct"/>
            <w:vMerge/>
            <w:vAlign w:val="center"/>
            <w:hideMark/>
          </w:tcPr>
          <w:p w14:paraId="52269F36"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2EB6AA0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Art. 7º, IX</w:t>
            </w:r>
          </w:p>
        </w:tc>
        <w:tc>
          <w:tcPr>
            <w:tcW w:w="638" w:type="pct"/>
            <w:tcBorders>
              <w:top w:val="nil"/>
              <w:left w:val="nil"/>
              <w:bottom w:val="single" w:sz="4" w:space="0" w:color="auto"/>
              <w:right w:val="single" w:sz="4" w:space="0" w:color="auto"/>
            </w:tcBorders>
            <w:vAlign w:val="center"/>
            <w:hideMark/>
          </w:tcPr>
          <w:p w14:paraId="30A63027"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FIDC - sênior</w:t>
            </w:r>
          </w:p>
        </w:tc>
        <w:tc>
          <w:tcPr>
            <w:tcW w:w="508" w:type="pct"/>
            <w:tcBorders>
              <w:top w:val="nil"/>
              <w:left w:val="nil"/>
              <w:bottom w:val="single" w:sz="4" w:space="0" w:color="auto"/>
              <w:right w:val="single" w:sz="4" w:space="0" w:color="auto"/>
            </w:tcBorders>
            <w:vAlign w:val="center"/>
          </w:tcPr>
          <w:p w14:paraId="72921EE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2.568.155,99</w:t>
            </w:r>
          </w:p>
        </w:tc>
        <w:tc>
          <w:tcPr>
            <w:tcW w:w="415" w:type="pct"/>
            <w:tcBorders>
              <w:top w:val="nil"/>
              <w:left w:val="nil"/>
              <w:bottom w:val="single" w:sz="4" w:space="0" w:color="auto"/>
              <w:right w:val="single" w:sz="4" w:space="0" w:color="auto"/>
            </w:tcBorders>
            <w:vAlign w:val="center"/>
          </w:tcPr>
          <w:p w14:paraId="6AB99DB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5,66%</w:t>
            </w:r>
          </w:p>
        </w:tc>
        <w:tc>
          <w:tcPr>
            <w:tcW w:w="212" w:type="pct"/>
            <w:tcBorders>
              <w:top w:val="nil"/>
              <w:left w:val="nil"/>
              <w:bottom w:val="single" w:sz="4" w:space="0" w:color="auto"/>
              <w:right w:val="single" w:sz="4" w:space="0" w:color="auto"/>
            </w:tcBorders>
            <w:noWrap/>
            <w:vAlign w:val="center"/>
            <w:hideMark/>
          </w:tcPr>
          <w:p w14:paraId="6DE3C50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56097D3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4514CC1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vAlign w:val="center"/>
            <w:hideMark/>
          </w:tcPr>
          <w:p w14:paraId="49E681E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52" w:type="pct"/>
            <w:tcBorders>
              <w:top w:val="nil"/>
              <w:left w:val="nil"/>
              <w:bottom w:val="single" w:sz="4" w:space="0" w:color="auto"/>
              <w:right w:val="single" w:sz="4" w:space="0" w:color="auto"/>
            </w:tcBorders>
            <w:shd w:val="clear" w:color="auto" w:fill="F2F2F2"/>
            <w:vAlign w:val="center"/>
            <w:hideMark/>
          </w:tcPr>
          <w:p w14:paraId="2B120B7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20,00</w:t>
            </w:r>
          </w:p>
        </w:tc>
        <w:tc>
          <w:tcPr>
            <w:tcW w:w="322" w:type="pct"/>
            <w:tcBorders>
              <w:top w:val="nil"/>
              <w:left w:val="nil"/>
              <w:bottom w:val="single" w:sz="4" w:space="0" w:color="auto"/>
              <w:right w:val="single" w:sz="4" w:space="0" w:color="auto"/>
            </w:tcBorders>
            <w:shd w:val="clear" w:color="auto" w:fill="FFFFFF"/>
            <w:vAlign w:val="center"/>
          </w:tcPr>
          <w:p w14:paraId="6E4F26A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6D89CA20" w14:textId="28BF2385" w:rsidR="00EA17D8" w:rsidRPr="00EA17D8" w:rsidRDefault="00921A1C" w:rsidP="00EA17D8">
            <w:pPr>
              <w:spacing w:after="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6"/>
                <w:szCs w:val="16"/>
                <w:lang w:eastAsia="pt-BR"/>
              </w:rPr>
              <w:t>0</w:t>
            </w:r>
            <w:r w:rsidR="00EA17D8" w:rsidRPr="00EA17D8">
              <w:rPr>
                <w:rFonts w:ascii="Calibri" w:eastAsia="Times New Roman" w:hAnsi="Calibri" w:cs="Calibri"/>
                <w:color w:val="000000"/>
                <w:sz w:val="16"/>
                <w:szCs w:val="16"/>
                <w:lang w:eastAsia="pt-BR"/>
              </w:rPr>
              <w:t>,00%</w:t>
            </w:r>
          </w:p>
        </w:tc>
        <w:tc>
          <w:tcPr>
            <w:tcW w:w="357" w:type="pct"/>
            <w:tcBorders>
              <w:top w:val="nil"/>
              <w:left w:val="nil"/>
              <w:bottom w:val="single" w:sz="4" w:space="0" w:color="auto"/>
              <w:right w:val="single" w:sz="4" w:space="0" w:color="auto"/>
            </w:tcBorders>
            <w:shd w:val="clear" w:color="auto" w:fill="FFFFFF"/>
            <w:vAlign w:val="center"/>
          </w:tcPr>
          <w:p w14:paraId="5A1C0D2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sz w:val="16"/>
                <w:szCs w:val="16"/>
              </w:rPr>
              <w:t>10,00%</w:t>
            </w:r>
          </w:p>
        </w:tc>
      </w:tr>
      <w:tr w:rsidR="00EA17D8" w:rsidRPr="00EA17D8" w14:paraId="77FB8CCA" w14:textId="77777777" w:rsidTr="00EA17D8">
        <w:trPr>
          <w:trHeight w:val="233"/>
        </w:trPr>
        <w:tc>
          <w:tcPr>
            <w:tcW w:w="552" w:type="pct"/>
            <w:vMerge/>
            <w:vAlign w:val="center"/>
            <w:hideMark/>
          </w:tcPr>
          <w:p w14:paraId="690C93DE"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shd w:val="clear" w:color="auto" w:fill="C8CFFC"/>
            <w:vAlign w:val="center"/>
            <w:hideMark/>
          </w:tcPr>
          <w:p w14:paraId="2291923B"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p>
        </w:tc>
        <w:tc>
          <w:tcPr>
            <w:tcW w:w="638" w:type="pct"/>
            <w:tcBorders>
              <w:top w:val="nil"/>
              <w:left w:val="nil"/>
              <w:bottom w:val="single" w:sz="4" w:space="0" w:color="auto"/>
              <w:right w:val="single" w:sz="4" w:space="0" w:color="auto"/>
            </w:tcBorders>
            <w:shd w:val="clear" w:color="auto" w:fill="C8CFFC"/>
            <w:vAlign w:val="center"/>
            <w:hideMark/>
          </w:tcPr>
          <w:p w14:paraId="45A39390" w14:textId="77777777" w:rsidR="00EA17D8" w:rsidRPr="00EA17D8" w:rsidRDefault="00EA17D8" w:rsidP="00EA17D8">
            <w:pPr>
              <w:spacing w:after="0" w:line="240" w:lineRule="auto"/>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Subtotal</w:t>
            </w:r>
          </w:p>
        </w:tc>
        <w:tc>
          <w:tcPr>
            <w:tcW w:w="508" w:type="pct"/>
            <w:tcBorders>
              <w:top w:val="nil"/>
              <w:left w:val="nil"/>
              <w:bottom w:val="single" w:sz="4" w:space="0" w:color="auto"/>
              <w:right w:val="single" w:sz="4" w:space="0" w:color="auto"/>
            </w:tcBorders>
            <w:shd w:val="clear" w:color="auto" w:fill="C8CFFC"/>
            <w:vAlign w:val="center"/>
          </w:tcPr>
          <w:p w14:paraId="2F60C2A5"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45.113.965,60</w:t>
            </w:r>
          </w:p>
        </w:tc>
        <w:tc>
          <w:tcPr>
            <w:tcW w:w="415" w:type="pct"/>
            <w:tcBorders>
              <w:top w:val="nil"/>
              <w:left w:val="nil"/>
              <w:bottom w:val="single" w:sz="4" w:space="0" w:color="auto"/>
              <w:right w:val="single" w:sz="4" w:space="0" w:color="auto"/>
            </w:tcBorders>
            <w:shd w:val="clear" w:color="auto" w:fill="C8CFFC"/>
            <w:vAlign w:val="center"/>
          </w:tcPr>
          <w:p w14:paraId="2E180AC9"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99,49%</w:t>
            </w:r>
          </w:p>
        </w:tc>
        <w:tc>
          <w:tcPr>
            <w:tcW w:w="1184" w:type="pct"/>
            <w:gridSpan w:val="5"/>
            <w:tcBorders>
              <w:top w:val="single" w:sz="4" w:space="0" w:color="auto"/>
              <w:left w:val="nil"/>
              <w:bottom w:val="single" w:sz="4" w:space="0" w:color="auto"/>
              <w:right w:val="single" w:sz="4" w:space="0" w:color="auto"/>
            </w:tcBorders>
            <w:shd w:val="clear" w:color="auto" w:fill="C8CFFC"/>
            <w:vAlign w:val="center"/>
            <w:hideMark/>
          </w:tcPr>
          <w:p w14:paraId="6B628880"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w:t>
            </w:r>
          </w:p>
        </w:tc>
        <w:tc>
          <w:tcPr>
            <w:tcW w:w="322" w:type="pct"/>
            <w:tcBorders>
              <w:top w:val="nil"/>
              <w:left w:val="nil"/>
              <w:bottom w:val="single" w:sz="4" w:space="0" w:color="auto"/>
              <w:right w:val="single" w:sz="4" w:space="0" w:color="auto"/>
            </w:tcBorders>
            <w:shd w:val="clear" w:color="auto" w:fill="C8CFFC"/>
            <w:vAlign w:val="center"/>
          </w:tcPr>
          <w:p w14:paraId="3E1B7B47"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00000"/>
                <w:sz w:val="16"/>
                <w:szCs w:val="16"/>
                <w:lang w:eastAsia="pt-BR"/>
              </w:rPr>
              <w:t>00,00%</w:t>
            </w:r>
          </w:p>
        </w:tc>
        <w:tc>
          <w:tcPr>
            <w:tcW w:w="407" w:type="pct"/>
            <w:tcBorders>
              <w:top w:val="nil"/>
              <w:left w:val="nil"/>
              <w:bottom w:val="single" w:sz="4" w:space="0" w:color="auto"/>
              <w:right w:val="single" w:sz="4" w:space="0" w:color="auto"/>
            </w:tcBorders>
            <w:shd w:val="clear" w:color="auto" w:fill="C8CFFC"/>
            <w:vAlign w:val="center"/>
          </w:tcPr>
          <w:p w14:paraId="3F553879"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00000"/>
                <w:sz w:val="16"/>
                <w:szCs w:val="16"/>
                <w:lang w:eastAsia="pt-BR"/>
              </w:rPr>
              <w:t>94,50%</w:t>
            </w:r>
          </w:p>
        </w:tc>
        <w:tc>
          <w:tcPr>
            <w:tcW w:w="357" w:type="pct"/>
            <w:tcBorders>
              <w:top w:val="nil"/>
              <w:left w:val="nil"/>
              <w:bottom w:val="single" w:sz="4" w:space="0" w:color="auto"/>
              <w:right w:val="single" w:sz="4" w:space="0" w:color="auto"/>
            </w:tcBorders>
            <w:shd w:val="clear" w:color="auto" w:fill="C8CFFC"/>
            <w:vAlign w:val="center"/>
          </w:tcPr>
          <w:p w14:paraId="43644017"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Calibri" w:hAnsi="Calibri" w:cs="Calibri"/>
                <w:b/>
                <w:bCs/>
                <w:sz w:val="16"/>
                <w:szCs w:val="16"/>
              </w:rPr>
              <w:t>100,00%</w:t>
            </w:r>
          </w:p>
        </w:tc>
      </w:tr>
      <w:tr w:rsidR="00EA17D8" w:rsidRPr="00EA17D8" w14:paraId="06BB36FA" w14:textId="77777777" w:rsidTr="00EA17D8">
        <w:trPr>
          <w:trHeight w:val="233"/>
        </w:trPr>
        <w:tc>
          <w:tcPr>
            <w:tcW w:w="552" w:type="pct"/>
            <w:vMerge w:val="restart"/>
            <w:tcBorders>
              <w:top w:val="nil"/>
              <w:left w:val="single" w:sz="4" w:space="0" w:color="auto"/>
              <w:bottom w:val="single" w:sz="4" w:space="0" w:color="auto"/>
              <w:right w:val="single" w:sz="4" w:space="0" w:color="auto"/>
            </w:tcBorders>
            <w:shd w:val="clear" w:color="auto" w:fill="2F5496"/>
            <w:vAlign w:val="center"/>
            <w:hideMark/>
          </w:tcPr>
          <w:p w14:paraId="08552ACE"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r w:rsidRPr="00EA17D8">
              <w:rPr>
                <w:rFonts w:ascii="Calibri" w:eastAsia="Times New Roman" w:hAnsi="Calibri" w:cs="Calibri"/>
                <w:b/>
                <w:bCs/>
                <w:color w:val="FFFFFF"/>
                <w:sz w:val="18"/>
                <w:szCs w:val="18"/>
                <w:lang w:eastAsia="pt-BR"/>
              </w:rPr>
              <w:t>Renda Variável</w:t>
            </w:r>
          </w:p>
        </w:tc>
        <w:tc>
          <w:tcPr>
            <w:tcW w:w="618" w:type="pct"/>
            <w:tcBorders>
              <w:top w:val="nil"/>
              <w:left w:val="nil"/>
              <w:bottom w:val="single" w:sz="4" w:space="0" w:color="auto"/>
              <w:right w:val="single" w:sz="4" w:space="0" w:color="auto"/>
            </w:tcBorders>
            <w:vAlign w:val="center"/>
            <w:hideMark/>
          </w:tcPr>
          <w:p w14:paraId="4657D96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8º, I</w:t>
            </w:r>
          </w:p>
        </w:tc>
        <w:tc>
          <w:tcPr>
            <w:tcW w:w="638" w:type="pct"/>
            <w:tcBorders>
              <w:top w:val="nil"/>
              <w:left w:val="nil"/>
              <w:bottom w:val="single" w:sz="4" w:space="0" w:color="auto"/>
              <w:right w:val="single" w:sz="4" w:space="0" w:color="auto"/>
            </w:tcBorders>
            <w:vAlign w:val="center"/>
            <w:hideMark/>
          </w:tcPr>
          <w:p w14:paraId="333C49F1"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Ações</w:t>
            </w:r>
          </w:p>
        </w:tc>
        <w:tc>
          <w:tcPr>
            <w:tcW w:w="508" w:type="pct"/>
            <w:tcBorders>
              <w:top w:val="nil"/>
              <w:left w:val="nil"/>
              <w:bottom w:val="single" w:sz="4" w:space="0" w:color="auto"/>
              <w:right w:val="single" w:sz="4" w:space="0" w:color="auto"/>
            </w:tcBorders>
            <w:vAlign w:val="center"/>
          </w:tcPr>
          <w:p w14:paraId="2AED704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71F82EF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592E091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562008C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732" w:type="pct"/>
            <w:gridSpan w:val="3"/>
            <w:tcBorders>
              <w:top w:val="single" w:sz="4" w:space="0" w:color="auto"/>
              <w:left w:val="nil"/>
              <w:bottom w:val="single" w:sz="4" w:space="0" w:color="auto"/>
              <w:right w:val="single" w:sz="4" w:space="0" w:color="auto"/>
            </w:tcBorders>
            <w:shd w:val="clear" w:color="auto" w:fill="F2F2F2"/>
            <w:vAlign w:val="center"/>
            <w:hideMark/>
          </w:tcPr>
          <w:p w14:paraId="25FDAE6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40,00</w:t>
            </w:r>
          </w:p>
        </w:tc>
        <w:tc>
          <w:tcPr>
            <w:tcW w:w="322" w:type="pct"/>
            <w:tcBorders>
              <w:top w:val="nil"/>
              <w:left w:val="nil"/>
              <w:bottom w:val="single" w:sz="4" w:space="0" w:color="auto"/>
              <w:right w:val="single" w:sz="4" w:space="0" w:color="auto"/>
            </w:tcBorders>
            <w:shd w:val="clear" w:color="auto" w:fill="FFFFFF"/>
            <w:vAlign w:val="center"/>
          </w:tcPr>
          <w:p w14:paraId="1019A0A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color w:val="000000"/>
                <w:sz w:val="16"/>
                <w:szCs w:val="16"/>
              </w:rPr>
              <w:t>0,00%</w:t>
            </w:r>
          </w:p>
        </w:tc>
        <w:tc>
          <w:tcPr>
            <w:tcW w:w="407" w:type="pct"/>
            <w:tcBorders>
              <w:top w:val="nil"/>
              <w:left w:val="nil"/>
              <w:bottom w:val="single" w:sz="4" w:space="0" w:color="auto"/>
              <w:right w:val="single" w:sz="4" w:space="0" w:color="auto"/>
            </w:tcBorders>
            <w:shd w:val="clear" w:color="auto" w:fill="FFFFFF"/>
            <w:vAlign w:val="center"/>
          </w:tcPr>
          <w:p w14:paraId="42342531" w14:textId="77777777"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Calibri" w:hAnsi="Calibri" w:cs="Times New Roman"/>
                <w:color w:val="000000"/>
                <w:sz w:val="16"/>
                <w:szCs w:val="16"/>
              </w:rPr>
              <w:t>2,00%</w:t>
            </w:r>
          </w:p>
        </w:tc>
        <w:tc>
          <w:tcPr>
            <w:tcW w:w="357" w:type="pct"/>
            <w:tcBorders>
              <w:top w:val="nil"/>
              <w:left w:val="nil"/>
              <w:bottom w:val="single" w:sz="4" w:space="0" w:color="auto"/>
              <w:right w:val="single" w:sz="4" w:space="0" w:color="auto"/>
            </w:tcBorders>
            <w:shd w:val="clear" w:color="auto" w:fill="FFFFFF"/>
            <w:vAlign w:val="center"/>
          </w:tcPr>
          <w:p w14:paraId="6583A76F" w14:textId="77777777" w:rsidR="00EA17D8" w:rsidRPr="00EA17D8" w:rsidRDefault="00EA17D8" w:rsidP="00EA17D8">
            <w:pPr>
              <w:spacing w:after="0" w:line="240" w:lineRule="auto"/>
              <w:jc w:val="center"/>
              <w:rPr>
                <w:rFonts w:ascii="Calibri" w:eastAsia="Calibri" w:hAnsi="Calibri" w:cs="Times New Roman"/>
                <w:color w:val="000000"/>
                <w:sz w:val="16"/>
                <w:szCs w:val="16"/>
                <w:lang w:eastAsia="pt-BR"/>
              </w:rPr>
            </w:pPr>
            <w:r w:rsidRPr="00EA17D8">
              <w:rPr>
                <w:rFonts w:ascii="Calibri" w:eastAsia="Calibri" w:hAnsi="Calibri" w:cs="Times New Roman"/>
                <w:color w:val="000000"/>
                <w:sz w:val="16"/>
                <w:szCs w:val="16"/>
              </w:rPr>
              <w:t>30,00%</w:t>
            </w:r>
          </w:p>
        </w:tc>
      </w:tr>
      <w:tr w:rsidR="00EA17D8" w:rsidRPr="00EA17D8" w14:paraId="5C1396BC" w14:textId="77777777" w:rsidTr="00EA17D8">
        <w:trPr>
          <w:trHeight w:val="233"/>
        </w:trPr>
        <w:tc>
          <w:tcPr>
            <w:tcW w:w="552" w:type="pct"/>
            <w:vMerge/>
            <w:vAlign w:val="center"/>
            <w:hideMark/>
          </w:tcPr>
          <w:p w14:paraId="5738CCA4"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390F95C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8º, II</w:t>
            </w:r>
          </w:p>
        </w:tc>
        <w:tc>
          <w:tcPr>
            <w:tcW w:w="638" w:type="pct"/>
            <w:tcBorders>
              <w:top w:val="nil"/>
              <w:left w:val="nil"/>
              <w:bottom w:val="single" w:sz="4" w:space="0" w:color="auto"/>
              <w:right w:val="single" w:sz="4" w:space="0" w:color="auto"/>
            </w:tcBorders>
            <w:vAlign w:val="center"/>
            <w:hideMark/>
          </w:tcPr>
          <w:p w14:paraId="25F1EA35"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ETF de Ações</w:t>
            </w:r>
          </w:p>
        </w:tc>
        <w:tc>
          <w:tcPr>
            <w:tcW w:w="508" w:type="pct"/>
            <w:tcBorders>
              <w:top w:val="nil"/>
              <w:left w:val="nil"/>
              <w:bottom w:val="single" w:sz="4" w:space="0" w:color="auto"/>
              <w:right w:val="single" w:sz="4" w:space="0" w:color="auto"/>
            </w:tcBorders>
            <w:vAlign w:val="center"/>
          </w:tcPr>
          <w:p w14:paraId="4CB2B0D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7E37342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26D85BF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554BE0A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732" w:type="pct"/>
            <w:gridSpan w:val="3"/>
            <w:tcBorders>
              <w:top w:val="single" w:sz="4" w:space="0" w:color="auto"/>
              <w:left w:val="nil"/>
              <w:bottom w:val="single" w:sz="4" w:space="0" w:color="auto"/>
              <w:right w:val="single" w:sz="4" w:space="0" w:color="auto"/>
            </w:tcBorders>
            <w:shd w:val="clear" w:color="auto" w:fill="F2F2F2"/>
            <w:vAlign w:val="center"/>
            <w:hideMark/>
          </w:tcPr>
          <w:p w14:paraId="5AF53D2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40,00</w:t>
            </w:r>
          </w:p>
        </w:tc>
        <w:tc>
          <w:tcPr>
            <w:tcW w:w="322" w:type="pct"/>
            <w:tcBorders>
              <w:top w:val="nil"/>
              <w:left w:val="nil"/>
              <w:bottom w:val="single" w:sz="4" w:space="0" w:color="auto"/>
              <w:right w:val="single" w:sz="4" w:space="0" w:color="auto"/>
            </w:tcBorders>
            <w:shd w:val="clear" w:color="auto" w:fill="FFFFFF"/>
            <w:vAlign w:val="center"/>
          </w:tcPr>
          <w:p w14:paraId="0D38EC8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color w:val="000000"/>
                <w:sz w:val="16"/>
                <w:szCs w:val="16"/>
              </w:rPr>
              <w:t>0,00%</w:t>
            </w:r>
          </w:p>
        </w:tc>
        <w:tc>
          <w:tcPr>
            <w:tcW w:w="407" w:type="pct"/>
            <w:tcBorders>
              <w:top w:val="nil"/>
              <w:left w:val="nil"/>
              <w:bottom w:val="single" w:sz="4" w:space="0" w:color="auto"/>
              <w:right w:val="single" w:sz="4" w:space="0" w:color="auto"/>
            </w:tcBorders>
            <w:shd w:val="clear" w:color="auto" w:fill="FFFFFF"/>
            <w:vAlign w:val="center"/>
          </w:tcPr>
          <w:p w14:paraId="5BD5955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color w:val="000000"/>
                <w:sz w:val="16"/>
                <w:szCs w:val="16"/>
              </w:rPr>
              <w:t>0,00%</w:t>
            </w:r>
          </w:p>
        </w:tc>
        <w:tc>
          <w:tcPr>
            <w:tcW w:w="357" w:type="pct"/>
            <w:tcBorders>
              <w:top w:val="nil"/>
              <w:left w:val="nil"/>
              <w:bottom w:val="single" w:sz="4" w:space="0" w:color="auto"/>
              <w:right w:val="single" w:sz="4" w:space="0" w:color="auto"/>
            </w:tcBorders>
            <w:shd w:val="clear" w:color="auto" w:fill="FFFFFF"/>
            <w:vAlign w:val="center"/>
          </w:tcPr>
          <w:p w14:paraId="2BCFC05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color w:val="000000"/>
                <w:sz w:val="16"/>
                <w:szCs w:val="16"/>
              </w:rPr>
              <w:t>0,00%</w:t>
            </w:r>
          </w:p>
        </w:tc>
      </w:tr>
      <w:tr w:rsidR="00EA17D8" w:rsidRPr="00EA17D8" w14:paraId="1418FD1D" w14:textId="77777777" w:rsidTr="00EA17D8">
        <w:trPr>
          <w:trHeight w:val="233"/>
        </w:trPr>
        <w:tc>
          <w:tcPr>
            <w:tcW w:w="552" w:type="pct"/>
            <w:vMerge/>
            <w:vAlign w:val="center"/>
            <w:hideMark/>
          </w:tcPr>
          <w:p w14:paraId="768A9A29"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3E491E5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8º, III</w:t>
            </w:r>
          </w:p>
        </w:tc>
        <w:tc>
          <w:tcPr>
            <w:tcW w:w="638" w:type="pct"/>
            <w:tcBorders>
              <w:top w:val="nil"/>
              <w:left w:val="nil"/>
              <w:bottom w:val="single" w:sz="4" w:space="0" w:color="auto"/>
              <w:right w:val="single" w:sz="4" w:space="0" w:color="auto"/>
            </w:tcBorders>
            <w:vAlign w:val="center"/>
            <w:hideMark/>
          </w:tcPr>
          <w:p w14:paraId="161EBF36"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BDR ETF - Ações</w:t>
            </w:r>
          </w:p>
        </w:tc>
        <w:tc>
          <w:tcPr>
            <w:tcW w:w="508" w:type="pct"/>
            <w:tcBorders>
              <w:top w:val="nil"/>
              <w:left w:val="nil"/>
              <w:bottom w:val="single" w:sz="4" w:space="0" w:color="auto"/>
              <w:right w:val="single" w:sz="4" w:space="0" w:color="auto"/>
            </w:tcBorders>
            <w:vAlign w:val="center"/>
          </w:tcPr>
          <w:p w14:paraId="349A43E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1D2B9AC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2CDCD3E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2EBA0D1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329468A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hideMark/>
          </w:tcPr>
          <w:p w14:paraId="02804F0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0F63758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75A0EDF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1,00%</w:t>
            </w:r>
          </w:p>
        </w:tc>
        <w:tc>
          <w:tcPr>
            <w:tcW w:w="357" w:type="pct"/>
            <w:tcBorders>
              <w:top w:val="nil"/>
              <w:left w:val="nil"/>
              <w:bottom w:val="single" w:sz="4" w:space="0" w:color="auto"/>
              <w:right w:val="single" w:sz="4" w:space="0" w:color="auto"/>
            </w:tcBorders>
            <w:shd w:val="clear" w:color="auto" w:fill="FFFFFF"/>
            <w:vAlign w:val="center"/>
          </w:tcPr>
          <w:p w14:paraId="39D74FB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1,00%</w:t>
            </w:r>
          </w:p>
        </w:tc>
      </w:tr>
      <w:tr w:rsidR="00EA17D8" w:rsidRPr="00EA17D8" w14:paraId="254E3B8E" w14:textId="77777777" w:rsidTr="00EA17D8">
        <w:trPr>
          <w:trHeight w:val="233"/>
        </w:trPr>
        <w:tc>
          <w:tcPr>
            <w:tcW w:w="552" w:type="pct"/>
            <w:vMerge/>
            <w:vAlign w:val="center"/>
            <w:hideMark/>
          </w:tcPr>
          <w:p w14:paraId="1DB303C6"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77A48C4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8º, IV</w:t>
            </w:r>
          </w:p>
        </w:tc>
        <w:tc>
          <w:tcPr>
            <w:tcW w:w="638" w:type="pct"/>
            <w:tcBorders>
              <w:top w:val="nil"/>
              <w:left w:val="nil"/>
              <w:bottom w:val="single" w:sz="4" w:space="0" w:color="auto"/>
              <w:right w:val="single" w:sz="4" w:space="0" w:color="auto"/>
            </w:tcBorders>
            <w:vAlign w:val="center"/>
            <w:hideMark/>
          </w:tcPr>
          <w:p w14:paraId="7EA69FB0"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ETF - Internacional</w:t>
            </w:r>
          </w:p>
        </w:tc>
        <w:tc>
          <w:tcPr>
            <w:tcW w:w="508" w:type="pct"/>
            <w:tcBorders>
              <w:top w:val="nil"/>
              <w:left w:val="nil"/>
              <w:bottom w:val="single" w:sz="4" w:space="0" w:color="auto"/>
              <w:right w:val="single" w:sz="4" w:space="0" w:color="auto"/>
            </w:tcBorders>
            <w:vAlign w:val="center"/>
          </w:tcPr>
          <w:p w14:paraId="594914C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63AE06A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26422D0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53C54E4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5358447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7C4696A9"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3B0EDC0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441B3A6D"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639D518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sz w:val="16"/>
                <w:szCs w:val="16"/>
              </w:rPr>
              <w:t>0,00%</w:t>
            </w:r>
          </w:p>
        </w:tc>
      </w:tr>
      <w:tr w:rsidR="00EA17D8" w:rsidRPr="00EA17D8" w14:paraId="5AEEA3C0" w14:textId="77777777" w:rsidTr="00EA17D8">
        <w:trPr>
          <w:trHeight w:val="233"/>
        </w:trPr>
        <w:tc>
          <w:tcPr>
            <w:tcW w:w="552" w:type="pct"/>
            <w:vMerge/>
            <w:vAlign w:val="center"/>
            <w:hideMark/>
          </w:tcPr>
          <w:p w14:paraId="454F8C4E"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shd w:val="clear" w:color="auto" w:fill="CCCCFF"/>
            <w:vAlign w:val="center"/>
            <w:hideMark/>
          </w:tcPr>
          <w:p w14:paraId="17C65E63"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p>
        </w:tc>
        <w:tc>
          <w:tcPr>
            <w:tcW w:w="638" w:type="pct"/>
            <w:tcBorders>
              <w:top w:val="nil"/>
              <w:left w:val="nil"/>
              <w:bottom w:val="single" w:sz="4" w:space="0" w:color="auto"/>
              <w:right w:val="single" w:sz="4" w:space="0" w:color="auto"/>
            </w:tcBorders>
            <w:shd w:val="clear" w:color="auto" w:fill="CCCCFF"/>
            <w:vAlign w:val="center"/>
            <w:hideMark/>
          </w:tcPr>
          <w:p w14:paraId="301FAB78" w14:textId="77777777" w:rsidR="00EA17D8" w:rsidRPr="00EA17D8" w:rsidRDefault="00EA17D8" w:rsidP="00EA17D8">
            <w:pPr>
              <w:spacing w:after="0" w:line="240" w:lineRule="auto"/>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Subtotal</w:t>
            </w:r>
          </w:p>
        </w:tc>
        <w:tc>
          <w:tcPr>
            <w:tcW w:w="508" w:type="pct"/>
            <w:tcBorders>
              <w:top w:val="nil"/>
              <w:left w:val="nil"/>
              <w:bottom w:val="single" w:sz="4" w:space="0" w:color="auto"/>
              <w:right w:val="single" w:sz="4" w:space="0" w:color="auto"/>
            </w:tcBorders>
            <w:shd w:val="clear" w:color="auto" w:fill="CCCCFF"/>
            <w:vAlign w:val="center"/>
          </w:tcPr>
          <w:p w14:paraId="4A01FA94"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415" w:type="pct"/>
            <w:tcBorders>
              <w:top w:val="nil"/>
              <w:left w:val="nil"/>
              <w:bottom w:val="single" w:sz="4" w:space="0" w:color="auto"/>
              <w:right w:val="single" w:sz="4" w:space="0" w:color="auto"/>
            </w:tcBorders>
            <w:shd w:val="clear" w:color="auto" w:fill="CCCCFF"/>
            <w:vAlign w:val="center"/>
          </w:tcPr>
          <w:p w14:paraId="48F6CD64"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1184" w:type="pct"/>
            <w:gridSpan w:val="5"/>
            <w:tcBorders>
              <w:top w:val="single" w:sz="4" w:space="0" w:color="auto"/>
              <w:left w:val="nil"/>
              <w:bottom w:val="single" w:sz="4" w:space="0" w:color="auto"/>
              <w:right w:val="single" w:sz="4" w:space="0" w:color="auto"/>
            </w:tcBorders>
            <w:shd w:val="clear" w:color="auto" w:fill="CCCCFF"/>
            <w:vAlign w:val="center"/>
            <w:hideMark/>
          </w:tcPr>
          <w:p w14:paraId="3F325610"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w:t>
            </w:r>
          </w:p>
        </w:tc>
        <w:tc>
          <w:tcPr>
            <w:tcW w:w="322" w:type="pct"/>
            <w:tcBorders>
              <w:top w:val="nil"/>
              <w:left w:val="nil"/>
              <w:bottom w:val="single" w:sz="4" w:space="0" w:color="auto"/>
              <w:right w:val="single" w:sz="4" w:space="0" w:color="auto"/>
            </w:tcBorders>
            <w:shd w:val="clear" w:color="auto" w:fill="CCCCFF"/>
            <w:vAlign w:val="center"/>
          </w:tcPr>
          <w:p w14:paraId="091C6A66"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Calibri" w:hAnsi="Calibri" w:cs="Calibri"/>
                <w:b/>
                <w:bCs/>
                <w:color w:val="000000"/>
                <w:sz w:val="16"/>
                <w:szCs w:val="16"/>
              </w:rPr>
              <w:t>0,00%</w:t>
            </w:r>
          </w:p>
        </w:tc>
        <w:tc>
          <w:tcPr>
            <w:tcW w:w="407" w:type="pct"/>
            <w:tcBorders>
              <w:top w:val="nil"/>
              <w:left w:val="nil"/>
              <w:bottom w:val="single" w:sz="4" w:space="0" w:color="auto"/>
              <w:right w:val="single" w:sz="4" w:space="0" w:color="auto"/>
            </w:tcBorders>
            <w:shd w:val="clear" w:color="auto" w:fill="CCCCFF"/>
            <w:vAlign w:val="center"/>
          </w:tcPr>
          <w:p w14:paraId="222A8294"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00000"/>
                <w:sz w:val="16"/>
                <w:szCs w:val="16"/>
                <w:lang w:eastAsia="pt-BR"/>
              </w:rPr>
              <w:t>3,00%</w:t>
            </w:r>
          </w:p>
        </w:tc>
        <w:tc>
          <w:tcPr>
            <w:tcW w:w="357" w:type="pct"/>
            <w:tcBorders>
              <w:top w:val="nil"/>
              <w:left w:val="nil"/>
              <w:bottom w:val="single" w:sz="4" w:space="0" w:color="auto"/>
              <w:right w:val="single" w:sz="4" w:space="0" w:color="auto"/>
            </w:tcBorders>
            <w:shd w:val="clear" w:color="auto" w:fill="CCCCFF"/>
            <w:vAlign w:val="center"/>
          </w:tcPr>
          <w:p w14:paraId="53E03218"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Calibri" w:hAnsi="Calibri" w:cs="Times New Roman"/>
                <w:b/>
                <w:bCs/>
                <w:color w:val="000000"/>
                <w:sz w:val="16"/>
                <w:szCs w:val="16"/>
              </w:rPr>
              <w:t>30,00%</w:t>
            </w:r>
          </w:p>
        </w:tc>
      </w:tr>
      <w:tr w:rsidR="00EA17D8" w:rsidRPr="00EA17D8" w14:paraId="30AD089A" w14:textId="77777777" w:rsidTr="00EA17D8">
        <w:trPr>
          <w:trHeight w:val="233"/>
        </w:trPr>
        <w:tc>
          <w:tcPr>
            <w:tcW w:w="552" w:type="pct"/>
            <w:vMerge w:val="restart"/>
            <w:tcBorders>
              <w:top w:val="nil"/>
              <w:left w:val="single" w:sz="4" w:space="0" w:color="auto"/>
              <w:bottom w:val="single" w:sz="4" w:space="0" w:color="auto"/>
              <w:right w:val="single" w:sz="4" w:space="0" w:color="auto"/>
            </w:tcBorders>
            <w:shd w:val="clear" w:color="auto" w:fill="2F5496"/>
            <w:vAlign w:val="center"/>
            <w:hideMark/>
          </w:tcPr>
          <w:p w14:paraId="100CDF36"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r w:rsidRPr="00EA17D8">
              <w:rPr>
                <w:rFonts w:ascii="Calibri" w:eastAsia="Times New Roman" w:hAnsi="Calibri" w:cs="Calibri"/>
                <w:b/>
                <w:bCs/>
                <w:color w:val="FFFFFF"/>
                <w:sz w:val="18"/>
                <w:szCs w:val="18"/>
                <w:lang w:eastAsia="pt-BR"/>
              </w:rPr>
              <w:t>Investimentos no Exterior</w:t>
            </w:r>
          </w:p>
        </w:tc>
        <w:tc>
          <w:tcPr>
            <w:tcW w:w="618" w:type="pct"/>
            <w:tcBorders>
              <w:top w:val="nil"/>
              <w:left w:val="nil"/>
              <w:bottom w:val="single" w:sz="4" w:space="0" w:color="auto"/>
              <w:right w:val="single" w:sz="4" w:space="0" w:color="auto"/>
            </w:tcBorders>
            <w:vAlign w:val="center"/>
            <w:hideMark/>
          </w:tcPr>
          <w:p w14:paraId="58DBC1A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9º, I</w:t>
            </w:r>
          </w:p>
        </w:tc>
        <w:tc>
          <w:tcPr>
            <w:tcW w:w="638" w:type="pct"/>
            <w:tcBorders>
              <w:top w:val="nil"/>
              <w:left w:val="nil"/>
              <w:bottom w:val="single" w:sz="4" w:space="0" w:color="auto"/>
              <w:right w:val="single" w:sz="4" w:space="0" w:color="auto"/>
            </w:tcBorders>
            <w:vAlign w:val="center"/>
            <w:hideMark/>
          </w:tcPr>
          <w:p w14:paraId="01A115DD"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RF - Dívida Externa</w:t>
            </w:r>
          </w:p>
        </w:tc>
        <w:tc>
          <w:tcPr>
            <w:tcW w:w="508" w:type="pct"/>
            <w:tcBorders>
              <w:top w:val="nil"/>
              <w:left w:val="nil"/>
              <w:bottom w:val="single" w:sz="4" w:space="0" w:color="auto"/>
              <w:right w:val="single" w:sz="4" w:space="0" w:color="auto"/>
            </w:tcBorders>
            <w:vAlign w:val="center"/>
          </w:tcPr>
          <w:p w14:paraId="1BD06BD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25C7006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5E679C8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47ED3AE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72F98D2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6AA8035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4A948D59"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3FFF756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4647199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r>
      <w:tr w:rsidR="00EA17D8" w:rsidRPr="00EA17D8" w14:paraId="239E0CBC" w14:textId="77777777" w:rsidTr="00EA17D8">
        <w:trPr>
          <w:trHeight w:val="233"/>
        </w:trPr>
        <w:tc>
          <w:tcPr>
            <w:tcW w:w="552" w:type="pct"/>
            <w:vMerge/>
            <w:vAlign w:val="center"/>
            <w:hideMark/>
          </w:tcPr>
          <w:p w14:paraId="792FBA82"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371300C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9º, II</w:t>
            </w:r>
          </w:p>
        </w:tc>
        <w:tc>
          <w:tcPr>
            <w:tcW w:w="638" w:type="pct"/>
            <w:tcBorders>
              <w:top w:val="nil"/>
              <w:left w:val="nil"/>
              <w:bottom w:val="single" w:sz="4" w:space="0" w:color="auto"/>
              <w:right w:val="single" w:sz="4" w:space="0" w:color="auto"/>
            </w:tcBorders>
            <w:vAlign w:val="center"/>
            <w:hideMark/>
          </w:tcPr>
          <w:p w14:paraId="6F113CA3"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Inv Exterior – Qualif</w:t>
            </w:r>
          </w:p>
        </w:tc>
        <w:tc>
          <w:tcPr>
            <w:tcW w:w="508" w:type="pct"/>
            <w:tcBorders>
              <w:top w:val="nil"/>
              <w:left w:val="nil"/>
              <w:bottom w:val="single" w:sz="4" w:space="0" w:color="auto"/>
              <w:right w:val="single" w:sz="4" w:space="0" w:color="auto"/>
            </w:tcBorders>
            <w:vAlign w:val="center"/>
          </w:tcPr>
          <w:p w14:paraId="0350267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34E0506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1C79BA4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04EC9A2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03E37C6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49283CE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27B560A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744AC93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7416A3FD"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r>
      <w:tr w:rsidR="00EA17D8" w:rsidRPr="00EA17D8" w14:paraId="3F64A3CB" w14:textId="77777777" w:rsidTr="00EA17D8">
        <w:trPr>
          <w:trHeight w:val="233"/>
        </w:trPr>
        <w:tc>
          <w:tcPr>
            <w:tcW w:w="552" w:type="pct"/>
            <w:vMerge/>
            <w:vAlign w:val="center"/>
            <w:hideMark/>
          </w:tcPr>
          <w:p w14:paraId="015B4A76"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2644534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9º, III</w:t>
            </w:r>
          </w:p>
        </w:tc>
        <w:tc>
          <w:tcPr>
            <w:tcW w:w="638" w:type="pct"/>
            <w:tcBorders>
              <w:top w:val="nil"/>
              <w:left w:val="nil"/>
              <w:bottom w:val="single" w:sz="4" w:space="0" w:color="auto"/>
              <w:right w:val="single" w:sz="4" w:space="0" w:color="auto"/>
            </w:tcBorders>
            <w:vAlign w:val="center"/>
            <w:hideMark/>
          </w:tcPr>
          <w:p w14:paraId="263ABBE8"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Inv Exterior – Geral</w:t>
            </w:r>
          </w:p>
        </w:tc>
        <w:tc>
          <w:tcPr>
            <w:tcW w:w="508" w:type="pct"/>
            <w:tcBorders>
              <w:top w:val="nil"/>
              <w:left w:val="nil"/>
              <w:bottom w:val="single" w:sz="4" w:space="0" w:color="auto"/>
              <w:right w:val="single" w:sz="4" w:space="0" w:color="auto"/>
            </w:tcBorders>
            <w:vAlign w:val="center"/>
          </w:tcPr>
          <w:p w14:paraId="364789B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717AE5D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12CF6B3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3A5163E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5F72EBA9"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56C7A29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43B444EE" w14:textId="77777777" w:rsidR="00EA17D8" w:rsidRPr="00EA17D8" w:rsidRDefault="00EA17D8" w:rsidP="00EA17D8">
            <w:pPr>
              <w:spacing w:after="0" w:line="240" w:lineRule="auto"/>
              <w:jc w:val="center"/>
              <w:rPr>
                <w:rFonts w:ascii="Calibri" w:eastAsia="Times New Roman" w:hAnsi="Calibri" w:cs="Calibri"/>
                <w:color w:val="000000"/>
                <w:sz w:val="16"/>
                <w:szCs w:val="16"/>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75C53766" w14:textId="77777777" w:rsidR="00EA17D8" w:rsidRPr="00EA17D8" w:rsidRDefault="00EA17D8" w:rsidP="00EA17D8">
            <w:pPr>
              <w:spacing w:after="0" w:line="240" w:lineRule="auto"/>
              <w:jc w:val="center"/>
              <w:rPr>
                <w:rFonts w:ascii="Calibri" w:eastAsia="Times New Roman" w:hAnsi="Calibri" w:cs="Calibri"/>
                <w:color w:val="000000"/>
                <w:sz w:val="16"/>
                <w:szCs w:val="16"/>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29EB3533" w14:textId="77777777" w:rsidR="00EA17D8" w:rsidRPr="00EA17D8" w:rsidRDefault="00EA17D8" w:rsidP="00EA17D8">
            <w:pPr>
              <w:spacing w:after="0" w:line="240" w:lineRule="auto"/>
              <w:jc w:val="center"/>
              <w:rPr>
                <w:rFonts w:ascii="Calibri" w:eastAsia="Times New Roman" w:hAnsi="Calibri" w:cs="Calibri"/>
                <w:color w:val="000000"/>
                <w:sz w:val="16"/>
                <w:szCs w:val="16"/>
                <w:lang w:eastAsia="pt-BR"/>
              </w:rPr>
            </w:pPr>
            <w:r w:rsidRPr="00EA17D8">
              <w:rPr>
                <w:rFonts w:ascii="Calibri" w:eastAsia="Times New Roman" w:hAnsi="Calibri" w:cs="Calibri"/>
                <w:color w:val="000000"/>
                <w:sz w:val="16"/>
                <w:szCs w:val="16"/>
                <w:lang w:eastAsia="pt-BR"/>
              </w:rPr>
              <w:t>0,00%</w:t>
            </w:r>
          </w:p>
        </w:tc>
      </w:tr>
      <w:tr w:rsidR="00EA17D8" w:rsidRPr="00EA17D8" w14:paraId="769EF000" w14:textId="77777777" w:rsidTr="00EA17D8">
        <w:trPr>
          <w:trHeight w:val="233"/>
        </w:trPr>
        <w:tc>
          <w:tcPr>
            <w:tcW w:w="552" w:type="pct"/>
            <w:vMerge/>
            <w:vAlign w:val="center"/>
            <w:hideMark/>
          </w:tcPr>
          <w:p w14:paraId="12EC7A6A"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shd w:val="clear" w:color="auto" w:fill="CCCCFF"/>
            <w:vAlign w:val="center"/>
            <w:hideMark/>
          </w:tcPr>
          <w:p w14:paraId="1520FBEB"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p>
        </w:tc>
        <w:tc>
          <w:tcPr>
            <w:tcW w:w="638" w:type="pct"/>
            <w:tcBorders>
              <w:top w:val="nil"/>
              <w:left w:val="nil"/>
              <w:bottom w:val="single" w:sz="4" w:space="0" w:color="auto"/>
              <w:right w:val="single" w:sz="4" w:space="0" w:color="auto"/>
            </w:tcBorders>
            <w:shd w:val="clear" w:color="auto" w:fill="CCCCFF"/>
            <w:vAlign w:val="center"/>
            <w:hideMark/>
          </w:tcPr>
          <w:p w14:paraId="2D6D1DD2" w14:textId="77777777" w:rsidR="00EA17D8" w:rsidRPr="00EA17D8" w:rsidRDefault="00EA17D8" w:rsidP="00EA17D8">
            <w:pPr>
              <w:spacing w:after="0" w:line="240" w:lineRule="auto"/>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Subtotal</w:t>
            </w:r>
          </w:p>
        </w:tc>
        <w:tc>
          <w:tcPr>
            <w:tcW w:w="508" w:type="pct"/>
            <w:tcBorders>
              <w:top w:val="nil"/>
              <w:left w:val="nil"/>
              <w:bottom w:val="single" w:sz="4" w:space="0" w:color="auto"/>
              <w:right w:val="single" w:sz="4" w:space="0" w:color="auto"/>
            </w:tcBorders>
            <w:shd w:val="clear" w:color="auto" w:fill="CCCCFF"/>
            <w:vAlign w:val="center"/>
          </w:tcPr>
          <w:p w14:paraId="4E1DC4A6"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415" w:type="pct"/>
            <w:tcBorders>
              <w:top w:val="nil"/>
              <w:left w:val="nil"/>
              <w:bottom w:val="single" w:sz="4" w:space="0" w:color="auto"/>
              <w:right w:val="single" w:sz="4" w:space="0" w:color="auto"/>
            </w:tcBorders>
            <w:shd w:val="clear" w:color="auto" w:fill="CCCCFF"/>
            <w:vAlign w:val="center"/>
          </w:tcPr>
          <w:p w14:paraId="670DF975"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1184" w:type="pct"/>
            <w:gridSpan w:val="5"/>
            <w:tcBorders>
              <w:top w:val="single" w:sz="4" w:space="0" w:color="auto"/>
              <w:left w:val="nil"/>
              <w:bottom w:val="single" w:sz="4" w:space="0" w:color="auto"/>
              <w:right w:val="single" w:sz="4" w:space="0" w:color="auto"/>
            </w:tcBorders>
            <w:shd w:val="clear" w:color="auto" w:fill="CCCCFF"/>
            <w:vAlign w:val="center"/>
            <w:hideMark/>
          </w:tcPr>
          <w:p w14:paraId="1E27DF96"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w:t>
            </w:r>
          </w:p>
        </w:tc>
        <w:tc>
          <w:tcPr>
            <w:tcW w:w="322" w:type="pct"/>
            <w:tcBorders>
              <w:top w:val="nil"/>
              <w:left w:val="nil"/>
              <w:bottom w:val="single" w:sz="4" w:space="0" w:color="auto"/>
              <w:right w:val="single" w:sz="4" w:space="0" w:color="auto"/>
            </w:tcBorders>
            <w:shd w:val="clear" w:color="auto" w:fill="CCCCFF"/>
            <w:vAlign w:val="center"/>
          </w:tcPr>
          <w:p w14:paraId="7AB94E69"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CCCCFF"/>
            <w:vAlign w:val="center"/>
          </w:tcPr>
          <w:p w14:paraId="320218F1"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CCCCFF"/>
            <w:vAlign w:val="center"/>
          </w:tcPr>
          <w:p w14:paraId="1583A6B3"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r>
      <w:tr w:rsidR="00EA17D8" w:rsidRPr="00EA17D8" w14:paraId="733A8055" w14:textId="77777777" w:rsidTr="00EA17D8">
        <w:trPr>
          <w:trHeight w:val="233"/>
        </w:trPr>
        <w:tc>
          <w:tcPr>
            <w:tcW w:w="552" w:type="pct"/>
            <w:vMerge w:val="restart"/>
            <w:tcBorders>
              <w:top w:val="nil"/>
              <w:left w:val="single" w:sz="4" w:space="0" w:color="auto"/>
              <w:bottom w:val="single" w:sz="4" w:space="0" w:color="auto"/>
              <w:right w:val="single" w:sz="4" w:space="0" w:color="auto"/>
            </w:tcBorders>
            <w:shd w:val="clear" w:color="auto" w:fill="2F5496"/>
            <w:vAlign w:val="center"/>
            <w:hideMark/>
          </w:tcPr>
          <w:p w14:paraId="4A6A1B12"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r w:rsidRPr="00EA17D8">
              <w:rPr>
                <w:rFonts w:ascii="Calibri" w:eastAsia="Times New Roman" w:hAnsi="Calibri" w:cs="Calibri"/>
                <w:b/>
                <w:bCs/>
                <w:color w:val="FFFFFF"/>
                <w:sz w:val="18"/>
                <w:szCs w:val="18"/>
                <w:lang w:eastAsia="pt-BR"/>
              </w:rPr>
              <w:t>Investimentos Estruturados</w:t>
            </w:r>
          </w:p>
        </w:tc>
        <w:tc>
          <w:tcPr>
            <w:tcW w:w="618" w:type="pct"/>
            <w:tcBorders>
              <w:top w:val="nil"/>
              <w:left w:val="nil"/>
              <w:bottom w:val="single" w:sz="4" w:space="0" w:color="auto"/>
              <w:right w:val="single" w:sz="4" w:space="0" w:color="auto"/>
            </w:tcBorders>
            <w:vAlign w:val="center"/>
            <w:hideMark/>
          </w:tcPr>
          <w:p w14:paraId="639D711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 I</w:t>
            </w:r>
          </w:p>
        </w:tc>
        <w:tc>
          <w:tcPr>
            <w:tcW w:w="638" w:type="pct"/>
            <w:tcBorders>
              <w:top w:val="nil"/>
              <w:left w:val="nil"/>
              <w:bottom w:val="single" w:sz="4" w:space="0" w:color="auto"/>
              <w:right w:val="single" w:sz="4" w:space="0" w:color="auto"/>
            </w:tcBorders>
            <w:vAlign w:val="center"/>
            <w:hideMark/>
          </w:tcPr>
          <w:p w14:paraId="2A090468"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Multimercado</w:t>
            </w:r>
          </w:p>
        </w:tc>
        <w:tc>
          <w:tcPr>
            <w:tcW w:w="508" w:type="pct"/>
            <w:tcBorders>
              <w:top w:val="nil"/>
              <w:left w:val="nil"/>
              <w:bottom w:val="single" w:sz="4" w:space="0" w:color="auto"/>
              <w:right w:val="single" w:sz="4" w:space="0" w:color="auto"/>
            </w:tcBorders>
            <w:vAlign w:val="center"/>
          </w:tcPr>
          <w:p w14:paraId="36FADD5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5109A74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7A63E8E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65EA94A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732" w:type="pct"/>
            <w:gridSpan w:val="3"/>
            <w:tcBorders>
              <w:top w:val="single" w:sz="4" w:space="0" w:color="auto"/>
              <w:left w:val="nil"/>
              <w:bottom w:val="single" w:sz="4" w:space="0" w:color="auto"/>
              <w:right w:val="single" w:sz="4" w:space="0" w:color="auto"/>
            </w:tcBorders>
            <w:shd w:val="clear" w:color="auto" w:fill="F2F2F2"/>
            <w:vAlign w:val="center"/>
            <w:hideMark/>
          </w:tcPr>
          <w:p w14:paraId="7356718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15,00</w:t>
            </w:r>
          </w:p>
        </w:tc>
        <w:tc>
          <w:tcPr>
            <w:tcW w:w="322" w:type="pct"/>
            <w:tcBorders>
              <w:top w:val="nil"/>
              <w:left w:val="nil"/>
              <w:bottom w:val="single" w:sz="4" w:space="0" w:color="auto"/>
              <w:right w:val="single" w:sz="4" w:space="0" w:color="auto"/>
            </w:tcBorders>
            <w:shd w:val="clear" w:color="auto" w:fill="FFFFFF"/>
            <w:vAlign w:val="center"/>
          </w:tcPr>
          <w:p w14:paraId="564D7F1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761065F2" w14:textId="33C73EE4"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Times New Roman" w:hAnsi="Calibri" w:cs="Calibri"/>
                <w:color w:val="000000"/>
                <w:sz w:val="16"/>
                <w:szCs w:val="16"/>
                <w:lang w:eastAsia="pt-BR"/>
              </w:rPr>
              <w:t>1,</w:t>
            </w:r>
            <w:r w:rsidR="00921A1C">
              <w:rPr>
                <w:rFonts w:ascii="Calibri" w:eastAsia="Times New Roman" w:hAnsi="Calibri" w:cs="Calibri"/>
                <w:color w:val="000000"/>
                <w:sz w:val="16"/>
                <w:szCs w:val="16"/>
                <w:lang w:eastAsia="pt-BR"/>
              </w:rPr>
              <w:t>5</w:t>
            </w:r>
            <w:r w:rsidRPr="00EA17D8">
              <w:rPr>
                <w:rFonts w:ascii="Calibri" w:eastAsia="Times New Roman" w:hAnsi="Calibri" w:cs="Calibri"/>
                <w:color w:val="000000"/>
                <w:sz w:val="16"/>
                <w:szCs w:val="16"/>
                <w:lang w:eastAsia="pt-BR"/>
              </w:rPr>
              <w:t>0%</w:t>
            </w:r>
          </w:p>
        </w:tc>
        <w:tc>
          <w:tcPr>
            <w:tcW w:w="357" w:type="pct"/>
            <w:tcBorders>
              <w:top w:val="nil"/>
              <w:left w:val="nil"/>
              <w:bottom w:val="single" w:sz="4" w:space="0" w:color="auto"/>
              <w:right w:val="single" w:sz="4" w:space="0" w:color="auto"/>
            </w:tcBorders>
            <w:shd w:val="clear" w:color="auto" w:fill="FFFFFF"/>
            <w:vAlign w:val="center"/>
          </w:tcPr>
          <w:p w14:paraId="6E23ECA6" w14:textId="77777777" w:rsidR="00EA17D8" w:rsidRPr="00EA17D8" w:rsidRDefault="00EA17D8" w:rsidP="00EA17D8">
            <w:pPr>
              <w:spacing w:after="0" w:line="240" w:lineRule="auto"/>
              <w:jc w:val="center"/>
              <w:rPr>
                <w:rFonts w:ascii="Calibri" w:eastAsia="Times New Roman" w:hAnsi="Calibri" w:cs="Calibri"/>
                <w:color w:val="000000"/>
                <w:sz w:val="16"/>
                <w:szCs w:val="16"/>
                <w:lang w:eastAsia="pt-BR"/>
              </w:rPr>
            </w:pPr>
            <w:r w:rsidRPr="00EA17D8">
              <w:rPr>
                <w:rFonts w:ascii="Calibri" w:eastAsia="Times New Roman" w:hAnsi="Calibri" w:cs="Calibri"/>
                <w:color w:val="000000"/>
                <w:sz w:val="16"/>
                <w:szCs w:val="16"/>
                <w:lang w:eastAsia="pt-BR"/>
              </w:rPr>
              <w:t>10,00%</w:t>
            </w:r>
          </w:p>
        </w:tc>
      </w:tr>
      <w:tr w:rsidR="00EA17D8" w:rsidRPr="00EA17D8" w14:paraId="41719F61" w14:textId="77777777" w:rsidTr="00EA17D8">
        <w:trPr>
          <w:trHeight w:val="233"/>
        </w:trPr>
        <w:tc>
          <w:tcPr>
            <w:tcW w:w="552" w:type="pct"/>
            <w:vMerge/>
            <w:vAlign w:val="center"/>
            <w:hideMark/>
          </w:tcPr>
          <w:p w14:paraId="265A299A"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6BFAC1F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 II</w:t>
            </w:r>
          </w:p>
        </w:tc>
        <w:tc>
          <w:tcPr>
            <w:tcW w:w="638" w:type="pct"/>
            <w:tcBorders>
              <w:top w:val="nil"/>
              <w:left w:val="nil"/>
              <w:bottom w:val="single" w:sz="4" w:space="0" w:color="auto"/>
              <w:right w:val="single" w:sz="4" w:space="0" w:color="auto"/>
            </w:tcBorders>
            <w:vAlign w:val="center"/>
            <w:hideMark/>
          </w:tcPr>
          <w:p w14:paraId="0DF157AA"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Fiagro</w:t>
            </w:r>
          </w:p>
        </w:tc>
        <w:tc>
          <w:tcPr>
            <w:tcW w:w="508" w:type="pct"/>
            <w:tcBorders>
              <w:top w:val="nil"/>
              <w:left w:val="nil"/>
              <w:bottom w:val="single" w:sz="4" w:space="0" w:color="auto"/>
              <w:right w:val="single" w:sz="4" w:space="0" w:color="auto"/>
            </w:tcBorders>
            <w:vAlign w:val="center"/>
          </w:tcPr>
          <w:p w14:paraId="7EBCCA5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0,00</w:t>
            </w:r>
          </w:p>
        </w:tc>
        <w:tc>
          <w:tcPr>
            <w:tcW w:w="415" w:type="pct"/>
            <w:tcBorders>
              <w:top w:val="nil"/>
              <w:left w:val="nil"/>
              <w:bottom w:val="single" w:sz="4" w:space="0" w:color="auto"/>
              <w:right w:val="single" w:sz="4" w:space="0" w:color="auto"/>
            </w:tcBorders>
            <w:vAlign w:val="center"/>
          </w:tcPr>
          <w:p w14:paraId="2BAAF3D9"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5859A51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021E8A3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68A84DC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1BBD565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5,00</w:t>
            </w:r>
          </w:p>
        </w:tc>
        <w:tc>
          <w:tcPr>
            <w:tcW w:w="322" w:type="pct"/>
            <w:tcBorders>
              <w:top w:val="nil"/>
              <w:left w:val="nil"/>
              <w:bottom w:val="single" w:sz="4" w:space="0" w:color="auto"/>
              <w:right w:val="single" w:sz="4" w:space="0" w:color="auto"/>
            </w:tcBorders>
            <w:shd w:val="clear" w:color="auto" w:fill="FFFFFF"/>
            <w:vAlign w:val="center"/>
          </w:tcPr>
          <w:p w14:paraId="49A6202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052D064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2B56F13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Calibri" w:hAnsi="Calibri" w:cs="Calibri"/>
                <w:sz w:val="16"/>
                <w:szCs w:val="16"/>
              </w:rPr>
              <w:t>0,00%</w:t>
            </w:r>
          </w:p>
        </w:tc>
      </w:tr>
      <w:tr w:rsidR="00EA17D8" w:rsidRPr="00EA17D8" w14:paraId="68097E23" w14:textId="77777777" w:rsidTr="00EA17D8">
        <w:trPr>
          <w:trHeight w:val="233"/>
        </w:trPr>
        <w:tc>
          <w:tcPr>
            <w:tcW w:w="552" w:type="pct"/>
            <w:vMerge/>
            <w:vAlign w:val="center"/>
            <w:hideMark/>
          </w:tcPr>
          <w:p w14:paraId="3EFC2D7F"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6B6A322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 III</w:t>
            </w:r>
          </w:p>
        </w:tc>
        <w:tc>
          <w:tcPr>
            <w:tcW w:w="638" w:type="pct"/>
            <w:tcBorders>
              <w:top w:val="nil"/>
              <w:left w:val="nil"/>
              <w:bottom w:val="single" w:sz="4" w:space="0" w:color="auto"/>
              <w:right w:val="single" w:sz="4" w:space="0" w:color="auto"/>
            </w:tcBorders>
            <w:vAlign w:val="center"/>
            <w:hideMark/>
          </w:tcPr>
          <w:p w14:paraId="641229C0"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em Participações</w:t>
            </w:r>
          </w:p>
        </w:tc>
        <w:tc>
          <w:tcPr>
            <w:tcW w:w="508" w:type="pct"/>
            <w:tcBorders>
              <w:top w:val="nil"/>
              <w:left w:val="nil"/>
              <w:bottom w:val="single" w:sz="4" w:space="0" w:color="auto"/>
              <w:right w:val="single" w:sz="4" w:space="0" w:color="auto"/>
            </w:tcBorders>
            <w:vAlign w:val="center"/>
          </w:tcPr>
          <w:p w14:paraId="27D89E1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3C34BA8F"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4DE5C54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02CD4F7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196F5870"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5FA074FD"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52" w:type="pct"/>
            <w:tcBorders>
              <w:top w:val="nil"/>
              <w:left w:val="nil"/>
              <w:bottom w:val="single" w:sz="4" w:space="0" w:color="auto"/>
              <w:right w:val="single" w:sz="4" w:space="0" w:color="auto"/>
            </w:tcBorders>
            <w:shd w:val="clear" w:color="auto" w:fill="F2F2F2"/>
            <w:hideMark/>
          </w:tcPr>
          <w:p w14:paraId="29B4F68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1E61C8F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2866BF1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08BD7A4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r>
      <w:tr w:rsidR="00EA17D8" w:rsidRPr="00EA17D8" w14:paraId="37D5ADCD" w14:textId="77777777" w:rsidTr="00EA17D8">
        <w:trPr>
          <w:trHeight w:val="233"/>
        </w:trPr>
        <w:tc>
          <w:tcPr>
            <w:tcW w:w="552" w:type="pct"/>
            <w:vMerge/>
            <w:vAlign w:val="center"/>
            <w:hideMark/>
          </w:tcPr>
          <w:p w14:paraId="4F38FE53"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vAlign w:val="center"/>
            <w:hideMark/>
          </w:tcPr>
          <w:p w14:paraId="5881886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 IV</w:t>
            </w:r>
          </w:p>
        </w:tc>
        <w:tc>
          <w:tcPr>
            <w:tcW w:w="638" w:type="pct"/>
            <w:tcBorders>
              <w:top w:val="nil"/>
              <w:left w:val="nil"/>
              <w:bottom w:val="single" w:sz="4" w:space="0" w:color="auto"/>
              <w:right w:val="single" w:sz="4" w:space="0" w:color="auto"/>
            </w:tcBorders>
            <w:vAlign w:val="center"/>
            <w:hideMark/>
          </w:tcPr>
          <w:p w14:paraId="7C5B8201"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“Ações - Merc Acesso”</w:t>
            </w:r>
          </w:p>
        </w:tc>
        <w:tc>
          <w:tcPr>
            <w:tcW w:w="508" w:type="pct"/>
            <w:tcBorders>
              <w:top w:val="nil"/>
              <w:left w:val="nil"/>
              <w:bottom w:val="single" w:sz="4" w:space="0" w:color="auto"/>
              <w:right w:val="single" w:sz="4" w:space="0" w:color="auto"/>
            </w:tcBorders>
            <w:vAlign w:val="center"/>
          </w:tcPr>
          <w:p w14:paraId="5D975A58"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vAlign w:val="center"/>
          </w:tcPr>
          <w:p w14:paraId="1271D716"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noWrap/>
            <w:hideMark/>
          </w:tcPr>
          <w:p w14:paraId="345516C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3F58659A"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3D3EA87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27D12603"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52" w:type="pct"/>
            <w:tcBorders>
              <w:top w:val="nil"/>
              <w:left w:val="nil"/>
              <w:bottom w:val="single" w:sz="4" w:space="0" w:color="auto"/>
              <w:right w:val="single" w:sz="4" w:space="0" w:color="auto"/>
            </w:tcBorders>
            <w:shd w:val="clear" w:color="auto" w:fill="F2F2F2"/>
            <w:hideMark/>
          </w:tcPr>
          <w:p w14:paraId="1DABF997"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6992C7A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3F03566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357" w:type="pct"/>
            <w:tcBorders>
              <w:top w:val="nil"/>
              <w:left w:val="nil"/>
              <w:bottom w:val="single" w:sz="4" w:space="0" w:color="auto"/>
              <w:right w:val="single" w:sz="4" w:space="0" w:color="auto"/>
            </w:tcBorders>
            <w:shd w:val="clear" w:color="auto" w:fill="FFFFFF"/>
            <w:vAlign w:val="center"/>
          </w:tcPr>
          <w:p w14:paraId="7E16480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r>
      <w:tr w:rsidR="00EA17D8" w:rsidRPr="00EA17D8" w14:paraId="6651B183" w14:textId="77777777" w:rsidTr="00EA17D8">
        <w:trPr>
          <w:trHeight w:val="233"/>
        </w:trPr>
        <w:tc>
          <w:tcPr>
            <w:tcW w:w="552" w:type="pct"/>
            <w:vMerge/>
            <w:vAlign w:val="center"/>
            <w:hideMark/>
          </w:tcPr>
          <w:p w14:paraId="1B795E20"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shd w:val="clear" w:color="auto" w:fill="C8CFFC"/>
            <w:vAlign w:val="center"/>
            <w:hideMark/>
          </w:tcPr>
          <w:p w14:paraId="1A1CC480"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p>
        </w:tc>
        <w:tc>
          <w:tcPr>
            <w:tcW w:w="638" w:type="pct"/>
            <w:tcBorders>
              <w:top w:val="nil"/>
              <w:left w:val="nil"/>
              <w:bottom w:val="single" w:sz="4" w:space="0" w:color="auto"/>
              <w:right w:val="single" w:sz="4" w:space="0" w:color="auto"/>
            </w:tcBorders>
            <w:shd w:val="clear" w:color="auto" w:fill="C8CFFC"/>
            <w:vAlign w:val="center"/>
            <w:hideMark/>
          </w:tcPr>
          <w:p w14:paraId="5CAB11EE" w14:textId="77777777" w:rsidR="00EA17D8" w:rsidRPr="00EA17D8" w:rsidRDefault="00EA17D8" w:rsidP="00EA17D8">
            <w:pPr>
              <w:spacing w:after="0" w:line="240" w:lineRule="auto"/>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Subtotal</w:t>
            </w:r>
          </w:p>
        </w:tc>
        <w:tc>
          <w:tcPr>
            <w:tcW w:w="508" w:type="pct"/>
            <w:tcBorders>
              <w:top w:val="nil"/>
              <w:left w:val="nil"/>
              <w:bottom w:val="single" w:sz="4" w:space="0" w:color="auto"/>
              <w:right w:val="single" w:sz="4" w:space="0" w:color="auto"/>
            </w:tcBorders>
            <w:shd w:val="clear" w:color="auto" w:fill="C8CFFC"/>
            <w:vAlign w:val="center"/>
          </w:tcPr>
          <w:p w14:paraId="29DBB07A"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415" w:type="pct"/>
            <w:tcBorders>
              <w:top w:val="nil"/>
              <w:left w:val="nil"/>
              <w:bottom w:val="single" w:sz="4" w:space="0" w:color="auto"/>
              <w:right w:val="single" w:sz="4" w:space="0" w:color="auto"/>
            </w:tcBorders>
            <w:shd w:val="clear" w:color="auto" w:fill="C8CFFC"/>
            <w:vAlign w:val="center"/>
          </w:tcPr>
          <w:p w14:paraId="6C0E0A11"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1184" w:type="pct"/>
            <w:gridSpan w:val="5"/>
            <w:tcBorders>
              <w:top w:val="single" w:sz="4" w:space="0" w:color="auto"/>
              <w:left w:val="nil"/>
              <w:bottom w:val="single" w:sz="4" w:space="0" w:color="auto"/>
              <w:right w:val="single" w:sz="4" w:space="0" w:color="auto"/>
            </w:tcBorders>
            <w:shd w:val="clear" w:color="auto" w:fill="C8CFFC"/>
            <w:vAlign w:val="center"/>
            <w:hideMark/>
          </w:tcPr>
          <w:p w14:paraId="71A50E88"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w:t>
            </w:r>
          </w:p>
        </w:tc>
        <w:tc>
          <w:tcPr>
            <w:tcW w:w="322" w:type="pct"/>
            <w:tcBorders>
              <w:top w:val="nil"/>
              <w:left w:val="nil"/>
              <w:bottom w:val="single" w:sz="4" w:space="0" w:color="auto"/>
              <w:right w:val="single" w:sz="4" w:space="0" w:color="auto"/>
            </w:tcBorders>
            <w:shd w:val="clear" w:color="auto" w:fill="C8CFFC"/>
            <w:vAlign w:val="center"/>
          </w:tcPr>
          <w:p w14:paraId="642B6806"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C8CFFC"/>
            <w:vAlign w:val="center"/>
          </w:tcPr>
          <w:p w14:paraId="70428851" w14:textId="62E7AABF"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00000"/>
                <w:sz w:val="16"/>
                <w:szCs w:val="16"/>
                <w:lang w:eastAsia="pt-BR"/>
              </w:rPr>
              <w:t>1,</w:t>
            </w:r>
            <w:r w:rsidR="00921A1C">
              <w:rPr>
                <w:rFonts w:ascii="Calibri" w:eastAsia="Times New Roman" w:hAnsi="Calibri" w:cs="Calibri"/>
                <w:b/>
                <w:bCs/>
                <w:color w:val="000000"/>
                <w:sz w:val="16"/>
                <w:szCs w:val="16"/>
                <w:lang w:eastAsia="pt-BR"/>
              </w:rPr>
              <w:t>5</w:t>
            </w:r>
            <w:r w:rsidRPr="00EA17D8">
              <w:rPr>
                <w:rFonts w:ascii="Calibri" w:eastAsia="Times New Roman" w:hAnsi="Calibri" w:cs="Calibri"/>
                <w:b/>
                <w:bCs/>
                <w:color w:val="000000"/>
                <w:sz w:val="16"/>
                <w:szCs w:val="16"/>
                <w:lang w:eastAsia="pt-BR"/>
              </w:rPr>
              <w:t>0%</w:t>
            </w:r>
          </w:p>
        </w:tc>
        <w:tc>
          <w:tcPr>
            <w:tcW w:w="357" w:type="pct"/>
            <w:tcBorders>
              <w:top w:val="nil"/>
              <w:left w:val="nil"/>
              <w:bottom w:val="single" w:sz="4" w:space="0" w:color="auto"/>
              <w:right w:val="single" w:sz="4" w:space="0" w:color="auto"/>
            </w:tcBorders>
            <w:shd w:val="clear" w:color="auto" w:fill="C8CFFC"/>
            <w:vAlign w:val="center"/>
          </w:tcPr>
          <w:p w14:paraId="437478F9"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15,00%</w:t>
            </w:r>
          </w:p>
        </w:tc>
      </w:tr>
      <w:tr w:rsidR="00EA17D8" w:rsidRPr="00EA17D8" w14:paraId="06603EED" w14:textId="77777777" w:rsidTr="00EA17D8">
        <w:trPr>
          <w:trHeight w:val="233"/>
        </w:trPr>
        <w:tc>
          <w:tcPr>
            <w:tcW w:w="552" w:type="pct"/>
            <w:vMerge w:val="restart"/>
            <w:tcBorders>
              <w:top w:val="nil"/>
              <w:left w:val="single" w:sz="4" w:space="0" w:color="auto"/>
              <w:bottom w:val="single" w:sz="4" w:space="0" w:color="auto"/>
              <w:right w:val="single" w:sz="4" w:space="0" w:color="auto"/>
            </w:tcBorders>
            <w:shd w:val="clear" w:color="auto" w:fill="2F5496"/>
            <w:vAlign w:val="center"/>
            <w:hideMark/>
          </w:tcPr>
          <w:p w14:paraId="6713CC40"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r w:rsidRPr="00EA17D8">
              <w:rPr>
                <w:rFonts w:ascii="Calibri" w:eastAsia="Times New Roman" w:hAnsi="Calibri" w:cs="Calibri"/>
                <w:b/>
                <w:bCs/>
                <w:color w:val="FFFFFF"/>
                <w:sz w:val="18"/>
                <w:szCs w:val="18"/>
                <w:lang w:eastAsia="pt-BR"/>
              </w:rPr>
              <w:t>Fundos Imobiliários</w:t>
            </w:r>
          </w:p>
        </w:tc>
        <w:tc>
          <w:tcPr>
            <w:tcW w:w="618" w:type="pct"/>
            <w:tcBorders>
              <w:top w:val="nil"/>
              <w:left w:val="nil"/>
              <w:bottom w:val="single" w:sz="4" w:space="0" w:color="auto"/>
              <w:right w:val="single" w:sz="4" w:space="0" w:color="auto"/>
            </w:tcBorders>
            <w:shd w:val="clear" w:color="auto" w:fill="FFFFFF"/>
            <w:vAlign w:val="center"/>
            <w:hideMark/>
          </w:tcPr>
          <w:p w14:paraId="7D8F8F09"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11</w:t>
            </w:r>
          </w:p>
        </w:tc>
        <w:tc>
          <w:tcPr>
            <w:tcW w:w="638" w:type="pct"/>
            <w:tcBorders>
              <w:top w:val="nil"/>
              <w:left w:val="nil"/>
              <w:bottom w:val="single" w:sz="4" w:space="0" w:color="auto"/>
              <w:right w:val="single" w:sz="4" w:space="0" w:color="auto"/>
            </w:tcBorders>
            <w:shd w:val="clear" w:color="auto" w:fill="FFFFFF"/>
            <w:vAlign w:val="center"/>
            <w:hideMark/>
          </w:tcPr>
          <w:p w14:paraId="076F39AB"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FI Imobiliário</w:t>
            </w:r>
          </w:p>
        </w:tc>
        <w:tc>
          <w:tcPr>
            <w:tcW w:w="508" w:type="pct"/>
            <w:tcBorders>
              <w:top w:val="nil"/>
              <w:left w:val="nil"/>
              <w:bottom w:val="single" w:sz="4" w:space="0" w:color="auto"/>
              <w:right w:val="single" w:sz="4" w:space="0" w:color="auto"/>
            </w:tcBorders>
            <w:shd w:val="clear" w:color="auto" w:fill="FFFFFF"/>
          </w:tcPr>
          <w:p w14:paraId="51041017" w14:textId="77777777" w:rsidR="00EA17D8" w:rsidRPr="00EA17D8" w:rsidRDefault="00EA17D8" w:rsidP="00EA17D8">
            <w:pPr>
              <w:spacing w:after="0" w:line="240" w:lineRule="auto"/>
              <w:jc w:val="center"/>
              <w:rPr>
                <w:rFonts w:ascii="Calibri" w:eastAsia="Times New Roman" w:hAnsi="Calibri" w:cs="Calibri"/>
                <w:color w:val="000000"/>
                <w:sz w:val="16"/>
                <w:szCs w:val="16"/>
                <w:lang w:eastAsia="pt-BR"/>
              </w:rPr>
            </w:pPr>
            <w:r w:rsidRPr="00EA17D8">
              <w:rPr>
                <w:rFonts w:ascii="Calibri" w:eastAsia="Times New Roman" w:hAnsi="Calibri" w:cs="Calibri"/>
                <w:color w:val="000000"/>
                <w:sz w:val="16"/>
                <w:szCs w:val="16"/>
                <w:lang w:eastAsia="pt-BR"/>
              </w:rPr>
              <w:t>230.856,71</w:t>
            </w:r>
          </w:p>
        </w:tc>
        <w:tc>
          <w:tcPr>
            <w:tcW w:w="415" w:type="pct"/>
            <w:tcBorders>
              <w:top w:val="nil"/>
              <w:left w:val="nil"/>
              <w:bottom w:val="single" w:sz="4" w:space="0" w:color="auto"/>
              <w:right w:val="single" w:sz="4" w:space="0" w:color="auto"/>
            </w:tcBorders>
            <w:shd w:val="clear" w:color="auto" w:fill="FFFFFF"/>
          </w:tcPr>
          <w:p w14:paraId="23EA1A53" w14:textId="77777777" w:rsidR="00EA17D8" w:rsidRPr="00EA17D8" w:rsidRDefault="00EA17D8" w:rsidP="00EA17D8">
            <w:pPr>
              <w:spacing w:after="0" w:line="240" w:lineRule="auto"/>
              <w:jc w:val="center"/>
              <w:rPr>
                <w:rFonts w:ascii="Calibri" w:eastAsia="Times New Roman" w:hAnsi="Calibri" w:cs="Calibri"/>
                <w:color w:val="000000"/>
                <w:sz w:val="16"/>
                <w:szCs w:val="16"/>
                <w:lang w:eastAsia="pt-BR"/>
              </w:rPr>
            </w:pPr>
            <w:r w:rsidRPr="00EA17D8">
              <w:rPr>
                <w:rFonts w:ascii="Calibri" w:eastAsia="Times New Roman" w:hAnsi="Calibri" w:cs="Calibri"/>
                <w:color w:val="000000"/>
                <w:sz w:val="16"/>
                <w:szCs w:val="16"/>
                <w:lang w:eastAsia="pt-BR"/>
              </w:rPr>
              <w:t>0,51%</w:t>
            </w:r>
          </w:p>
        </w:tc>
        <w:tc>
          <w:tcPr>
            <w:tcW w:w="212" w:type="pct"/>
            <w:tcBorders>
              <w:top w:val="nil"/>
              <w:left w:val="nil"/>
              <w:bottom w:val="single" w:sz="4" w:space="0" w:color="auto"/>
              <w:right w:val="single" w:sz="4" w:space="0" w:color="auto"/>
            </w:tcBorders>
            <w:noWrap/>
            <w:hideMark/>
          </w:tcPr>
          <w:p w14:paraId="67009F1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1DE342D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240" w:type="pct"/>
            <w:tcBorders>
              <w:top w:val="nil"/>
              <w:left w:val="nil"/>
              <w:bottom w:val="single" w:sz="4" w:space="0" w:color="auto"/>
              <w:right w:val="single" w:sz="4" w:space="0" w:color="auto"/>
            </w:tcBorders>
            <w:hideMark/>
          </w:tcPr>
          <w:p w14:paraId="3289038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w:t>
            </w:r>
          </w:p>
        </w:tc>
        <w:tc>
          <w:tcPr>
            <w:tcW w:w="492" w:type="pct"/>
            <w:gridSpan w:val="2"/>
            <w:tcBorders>
              <w:top w:val="single" w:sz="4" w:space="0" w:color="auto"/>
              <w:left w:val="nil"/>
              <w:bottom w:val="single" w:sz="4" w:space="0" w:color="auto"/>
              <w:right w:val="single" w:sz="4" w:space="0" w:color="auto"/>
            </w:tcBorders>
            <w:shd w:val="clear" w:color="auto" w:fill="F2F2F2"/>
            <w:vAlign w:val="center"/>
            <w:hideMark/>
          </w:tcPr>
          <w:p w14:paraId="4D58694B"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20,00</w:t>
            </w:r>
          </w:p>
        </w:tc>
        <w:tc>
          <w:tcPr>
            <w:tcW w:w="322" w:type="pct"/>
            <w:tcBorders>
              <w:top w:val="nil"/>
              <w:left w:val="nil"/>
              <w:bottom w:val="single" w:sz="4" w:space="0" w:color="auto"/>
              <w:right w:val="single" w:sz="4" w:space="0" w:color="auto"/>
            </w:tcBorders>
            <w:shd w:val="clear" w:color="auto" w:fill="FFFFFF"/>
            <w:vAlign w:val="center"/>
          </w:tcPr>
          <w:p w14:paraId="53CC3EA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5D8BA544" w14:textId="76E360FB"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Times New Roman" w:hAnsi="Calibri" w:cs="Calibri"/>
                <w:color w:val="000000"/>
                <w:sz w:val="16"/>
                <w:szCs w:val="16"/>
                <w:lang w:eastAsia="pt-BR"/>
              </w:rPr>
              <w:t>0,</w:t>
            </w:r>
            <w:r w:rsidR="00921A1C">
              <w:rPr>
                <w:rFonts w:ascii="Calibri" w:eastAsia="Times New Roman" w:hAnsi="Calibri" w:cs="Calibri"/>
                <w:color w:val="000000"/>
                <w:sz w:val="16"/>
                <w:szCs w:val="16"/>
                <w:lang w:eastAsia="pt-BR"/>
              </w:rPr>
              <w:t>0</w:t>
            </w:r>
            <w:r w:rsidRPr="00EA17D8">
              <w:rPr>
                <w:rFonts w:ascii="Calibri" w:eastAsia="Times New Roman" w:hAnsi="Calibri" w:cs="Calibri"/>
                <w:color w:val="000000"/>
                <w:sz w:val="16"/>
                <w:szCs w:val="16"/>
                <w:lang w:eastAsia="pt-BR"/>
              </w:rPr>
              <w:t>0%</w:t>
            </w:r>
          </w:p>
        </w:tc>
        <w:tc>
          <w:tcPr>
            <w:tcW w:w="357" w:type="pct"/>
            <w:tcBorders>
              <w:top w:val="nil"/>
              <w:left w:val="nil"/>
              <w:bottom w:val="single" w:sz="4" w:space="0" w:color="auto"/>
              <w:right w:val="single" w:sz="4" w:space="0" w:color="auto"/>
            </w:tcBorders>
            <w:shd w:val="clear" w:color="auto" w:fill="FFFFFF"/>
            <w:vAlign w:val="center"/>
          </w:tcPr>
          <w:p w14:paraId="5150086E" w14:textId="77777777" w:rsidR="00EA17D8" w:rsidRPr="00EA17D8" w:rsidRDefault="00EA17D8" w:rsidP="00EA17D8">
            <w:pPr>
              <w:spacing w:after="0" w:line="240" w:lineRule="auto"/>
              <w:jc w:val="center"/>
              <w:rPr>
                <w:rFonts w:ascii="Calibri" w:eastAsia="Times New Roman" w:hAnsi="Calibri" w:cs="Times New Roman"/>
                <w:color w:val="000000"/>
                <w:sz w:val="18"/>
                <w:szCs w:val="18"/>
                <w:lang w:eastAsia="pt-BR"/>
              </w:rPr>
            </w:pPr>
            <w:r w:rsidRPr="00EA17D8">
              <w:rPr>
                <w:rFonts w:ascii="Calibri" w:eastAsia="Times New Roman" w:hAnsi="Calibri" w:cs="Calibri"/>
                <w:color w:val="000000"/>
                <w:sz w:val="16"/>
                <w:szCs w:val="16"/>
                <w:lang w:eastAsia="pt-BR"/>
              </w:rPr>
              <w:t>5,00%</w:t>
            </w:r>
          </w:p>
        </w:tc>
      </w:tr>
      <w:tr w:rsidR="00EA17D8" w:rsidRPr="00EA17D8" w14:paraId="5895322A" w14:textId="77777777" w:rsidTr="00EA17D8">
        <w:trPr>
          <w:trHeight w:val="233"/>
        </w:trPr>
        <w:tc>
          <w:tcPr>
            <w:tcW w:w="552" w:type="pct"/>
            <w:vMerge/>
            <w:vAlign w:val="center"/>
            <w:hideMark/>
          </w:tcPr>
          <w:p w14:paraId="355AD135"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shd w:val="clear" w:color="auto" w:fill="CCCCFF"/>
            <w:vAlign w:val="center"/>
            <w:hideMark/>
          </w:tcPr>
          <w:p w14:paraId="7818A030"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p>
        </w:tc>
        <w:tc>
          <w:tcPr>
            <w:tcW w:w="638" w:type="pct"/>
            <w:tcBorders>
              <w:top w:val="nil"/>
              <w:left w:val="nil"/>
              <w:bottom w:val="single" w:sz="4" w:space="0" w:color="auto"/>
              <w:right w:val="single" w:sz="4" w:space="0" w:color="auto"/>
            </w:tcBorders>
            <w:shd w:val="clear" w:color="auto" w:fill="CCCCFF"/>
            <w:vAlign w:val="center"/>
            <w:hideMark/>
          </w:tcPr>
          <w:p w14:paraId="63C64BA5" w14:textId="77777777" w:rsidR="00EA17D8" w:rsidRPr="00EA17D8" w:rsidRDefault="00EA17D8" w:rsidP="00EA17D8">
            <w:pPr>
              <w:spacing w:after="0" w:line="240" w:lineRule="auto"/>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Subtotal</w:t>
            </w:r>
          </w:p>
        </w:tc>
        <w:tc>
          <w:tcPr>
            <w:tcW w:w="508" w:type="pct"/>
            <w:tcBorders>
              <w:top w:val="nil"/>
              <w:left w:val="nil"/>
              <w:bottom w:val="single" w:sz="4" w:space="0" w:color="auto"/>
              <w:right w:val="single" w:sz="4" w:space="0" w:color="auto"/>
            </w:tcBorders>
            <w:shd w:val="clear" w:color="auto" w:fill="CCCCFF"/>
            <w:vAlign w:val="center"/>
          </w:tcPr>
          <w:p w14:paraId="4950DCAC"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b/>
                <w:bCs/>
                <w:color w:val="000000"/>
                <w:sz w:val="16"/>
                <w:szCs w:val="16"/>
                <w:lang w:eastAsia="pt-BR"/>
              </w:rPr>
              <w:t>230.856,71</w:t>
            </w:r>
          </w:p>
        </w:tc>
        <w:tc>
          <w:tcPr>
            <w:tcW w:w="415" w:type="pct"/>
            <w:tcBorders>
              <w:top w:val="nil"/>
              <w:left w:val="nil"/>
              <w:bottom w:val="single" w:sz="4" w:space="0" w:color="auto"/>
              <w:right w:val="single" w:sz="4" w:space="0" w:color="auto"/>
            </w:tcBorders>
            <w:shd w:val="clear" w:color="auto" w:fill="CCCCFF"/>
            <w:vAlign w:val="center"/>
          </w:tcPr>
          <w:p w14:paraId="3E2E834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b/>
                <w:bCs/>
                <w:color w:val="000000"/>
                <w:sz w:val="16"/>
                <w:szCs w:val="16"/>
                <w:lang w:eastAsia="pt-BR"/>
              </w:rPr>
              <w:t>0,51%</w:t>
            </w:r>
          </w:p>
        </w:tc>
        <w:tc>
          <w:tcPr>
            <w:tcW w:w="1184" w:type="pct"/>
            <w:gridSpan w:val="5"/>
            <w:tcBorders>
              <w:top w:val="single" w:sz="4" w:space="0" w:color="auto"/>
              <w:left w:val="nil"/>
              <w:bottom w:val="single" w:sz="4" w:space="0" w:color="auto"/>
              <w:right w:val="single" w:sz="4" w:space="0" w:color="auto"/>
            </w:tcBorders>
            <w:shd w:val="clear" w:color="auto" w:fill="CCCCFF"/>
            <w:vAlign w:val="center"/>
            <w:hideMark/>
          </w:tcPr>
          <w:p w14:paraId="196E4D7A"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w:t>
            </w:r>
          </w:p>
        </w:tc>
        <w:tc>
          <w:tcPr>
            <w:tcW w:w="322" w:type="pct"/>
            <w:tcBorders>
              <w:top w:val="nil"/>
              <w:left w:val="nil"/>
              <w:bottom w:val="single" w:sz="4" w:space="0" w:color="auto"/>
              <w:right w:val="single" w:sz="4" w:space="0" w:color="auto"/>
            </w:tcBorders>
            <w:shd w:val="clear" w:color="auto" w:fill="CCCCFF"/>
            <w:vAlign w:val="center"/>
          </w:tcPr>
          <w:p w14:paraId="379EF446"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Calibri" w:hAnsi="Calibri" w:cs="Calibri"/>
                <w:b/>
                <w:bCs/>
                <w:color w:val="000000"/>
                <w:sz w:val="16"/>
                <w:szCs w:val="16"/>
              </w:rPr>
              <w:t>0,00%</w:t>
            </w:r>
          </w:p>
        </w:tc>
        <w:tc>
          <w:tcPr>
            <w:tcW w:w="407" w:type="pct"/>
            <w:tcBorders>
              <w:top w:val="nil"/>
              <w:left w:val="nil"/>
              <w:bottom w:val="single" w:sz="4" w:space="0" w:color="auto"/>
              <w:right w:val="single" w:sz="4" w:space="0" w:color="auto"/>
            </w:tcBorders>
            <w:shd w:val="clear" w:color="auto" w:fill="CCCCFF"/>
            <w:vAlign w:val="center"/>
          </w:tcPr>
          <w:p w14:paraId="680DE8AF" w14:textId="55E29455" w:rsidR="00EA17D8" w:rsidRPr="00EA17D8" w:rsidRDefault="00EA17D8" w:rsidP="00EA17D8">
            <w:pPr>
              <w:spacing w:after="0" w:line="240" w:lineRule="auto"/>
              <w:jc w:val="center"/>
              <w:rPr>
                <w:rFonts w:ascii="Calibri" w:eastAsia="Times New Roman" w:hAnsi="Calibri" w:cs="Calibri"/>
                <w:b/>
                <w:bCs/>
                <w:color w:val="000000"/>
                <w:sz w:val="16"/>
                <w:szCs w:val="16"/>
                <w:lang w:eastAsia="pt-BR"/>
              </w:rPr>
            </w:pPr>
            <w:r w:rsidRPr="00EA17D8">
              <w:rPr>
                <w:rFonts w:ascii="Calibri" w:eastAsia="Times New Roman" w:hAnsi="Calibri" w:cs="Calibri"/>
                <w:b/>
                <w:bCs/>
                <w:color w:val="000000"/>
                <w:sz w:val="16"/>
                <w:szCs w:val="16"/>
                <w:lang w:eastAsia="pt-BR"/>
              </w:rPr>
              <w:t>0,</w:t>
            </w:r>
            <w:r w:rsidR="00921A1C">
              <w:rPr>
                <w:rFonts w:ascii="Calibri" w:eastAsia="Times New Roman" w:hAnsi="Calibri" w:cs="Calibri"/>
                <w:b/>
                <w:bCs/>
                <w:color w:val="000000"/>
                <w:sz w:val="16"/>
                <w:szCs w:val="16"/>
                <w:lang w:eastAsia="pt-BR"/>
              </w:rPr>
              <w:t>0</w:t>
            </w:r>
            <w:r w:rsidRPr="00EA17D8">
              <w:rPr>
                <w:rFonts w:ascii="Calibri" w:eastAsia="Times New Roman" w:hAnsi="Calibri" w:cs="Calibri"/>
                <w:b/>
                <w:bCs/>
                <w:color w:val="000000"/>
                <w:sz w:val="16"/>
                <w:szCs w:val="16"/>
                <w:lang w:eastAsia="pt-BR"/>
              </w:rPr>
              <w:t>0%</w:t>
            </w:r>
          </w:p>
        </w:tc>
        <w:tc>
          <w:tcPr>
            <w:tcW w:w="357" w:type="pct"/>
            <w:tcBorders>
              <w:top w:val="nil"/>
              <w:left w:val="nil"/>
              <w:bottom w:val="single" w:sz="4" w:space="0" w:color="auto"/>
              <w:right w:val="single" w:sz="4" w:space="0" w:color="auto"/>
            </w:tcBorders>
            <w:shd w:val="clear" w:color="auto" w:fill="CCCCFF"/>
            <w:vAlign w:val="center"/>
          </w:tcPr>
          <w:p w14:paraId="78A477CF"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Calibri" w:hAnsi="Calibri" w:cs="Times New Roman"/>
                <w:b/>
                <w:bCs/>
                <w:color w:val="000000"/>
                <w:sz w:val="16"/>
                <w:szCs w:val="16"/>
              </w:rPr>
              <w:t>5,00%</w:t>
            </w:r>
          </w:p>
        </w:tc>
      </w:tr>
      <w:tr w:rsidR="00EA17D8" w:rsidRPr="00EA17D8" w14:paraId="619418DE" w14:textId="77777777" w:rsidTr="00EA17D8">
        <w:trPr>
          <w:trHeight w:val="233"/>
        </w:trPr>
        <w:tc>
          <w:tcPr>
            <w:tcW w:w="552" w:type="pct"/>
            <w:vMerge w:val="restart"/>
            <w:tcBorders>
              <w:top w:val="nil"/>
              <w:left w:val="single" w:sz="4" w:space="0" w:color="auto"/>
              <w:bottom w:val="single" w:sz="4" w:space="0" w:color="auto"/>
              <w:right w:val="single" w:sz="4" w:space="0" w:color="auto"/>
            </w:tcBorders>
            <w:shd w:val="clear" w:color="auto" w:fill="2F5496"/>
            <w:vAlign w:val="center"/>
            <w:hideMark/>
          </w:tcPr>
          <w:p w14:paraId="6EB259BC"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r w:rsidRPr="00EA17D8">
              <w:rPr>
                <w:rFonts w:ascii="Calibri" w:eastAsia="Times New Roman" w:hAnsi="Calibri" w:cs="Calibri"/>
                <w:b/>
                <w:bCs/>
                <w:color w:val="FFFFFF"/>
                <w:sz w:val="18"/>
                <w:szCs w:val="18"/>
                <w:lang w:eastAsia="pt-BR"/>
              </w:rPr>
              <w:t>Empréstimos Consignados</w:t>
            </w:r>
          </w:p>
        </w:tc>
        <w:tc>
          <w:tcPr>
            <w:tcW w:w="618" w:type="pct"/>
            <w:tcBorders>
              <w:top w:val="nil"/>
              <w:left w:val="nil"/>
              <w:bottom w:val="single" w:sz="4" w:space="0" w:color="auto"/>
              <w:right w:val="single" w:sz="4" w:space="0" w:color="auto"/>
            </w:tcBorders>
            <w:shd w:val="clear" w:color="auto" w:fill="FFFFFF"/>
            <w:vAlign w:val="center"/>
            <w:hideMark/>
          </w:tcPr>
          <w:p w14:paraId="4B297164"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12</w:t>
            </w:r>
          </w:p>
        </w:tc>
        <w:tc>
          <w:tcPr>
            <w:tcW w:w="638" w:type="pct"/>
            <w:tcBorders>
              <w:top w:val="nil"/>
              <w:left w:val="nil"/>
              <w:bottom w:val="single" w:sz="4" w:space="0" w:color="auto"/>
              <w:right w:val="single" w:sz="4" w:space="0" w:color="auto"/>
            </w:tcBorders>
            <w:shd w:val="clear" w:color="auto" w:fill="FFFFFF"/>
            <w:vAlign w:val="center"/>
            <w:hideMark/>
          </w:tcPr>
          <w:p w14:paraId="0FEFD8FB" w14:textId="77777777" w:rsidR="00EA17D8" w:rsidRPr="00EA17D8" w:rsidRDefault="00EA17D8" w:rsidP="00EA17D8">
            <w:pPr>
              <w:spacing w:after="0" w:line="240" w:lineRule="auto"/>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Emp Consignados</w:t>
            </w:r>
          </w:p>
        </w:tc>
        <w:tc>
          <w:tcPr>
            <w:tcW w:w="508" w:type="pct"/>
            <w:tcBorders>
              <w:top w:val="nil"/>
              <w:left w:val="nil"/>
              <w:bottom w:val="single" w:sz="4" w:space="0" w:color="auto"/>
              <w:right w:val="single" w:sz="4" w:space="0" w:color="auto"/>
            </w:tcBorders>
            <w:shd w:val="clear" w:color="auto" w:fill="FFFFFF"/>
            <w:vAlign w:val="center"/>
          </w:tcPr>
          <w:p w14:paraId="7F63CBE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15" w:type="pct"/>
            <w:tcBorders>
              <w:top w:val="nil"/>
              <w:left w:val="nil"/>
              <w:bottom w:val="single" w:sz="4" w:space="0" w:color="auto"/>
              <w:right w:val="single" w:sz="4" w:space="0" w:color="auto"/>
            </w:tcBorders>
            <w:shd w:val="clear" w:color="auto" w:fill="FFFFFF"/>
            <w:vAlign w:val="center"/>
          </w:tcPr>
          <w:p w14:paraId="3291678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212" w:type="pct"/>
            <w:tcBorders>
              <w:top w:val="nil"/>
              <w:left w:val="nil"/>
              <w:bottom w:val="single" w:sz="4" w:space="0" w:color="auto"/>
              <w:right w:val="single" w:sz="4" w:space="0" w:color="auto"/>
            </w:tcBorders>
            <w:shd w:val="clear" w:color="auto" w:fill="F2F2F2"/>
            <w:vAlign w:val="center"/>
            <w:hideMark/>
          </w:tcPr>
          <w:p w14:paraId="0F3CA7F1"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5,00</w:t>
            </w:r>
          </w:p>
        </w:tc>
        <w:tc>
          <w:tcPr>
            <w:tcW w:w="971" w:type="pct"/>
            <w:gridSpan w:val="4"/>
            <w:tcBorders>
              <w:top w:val="single" w:sz="4" w:space="0" w:color="auto"/>
              <w:left w:val="nil"/>
              <w:bottom w:val="single" w:sz="4" w:space="0" w:color="auto"/>
              <w:right w:val="single" w:sz="4" w:space="0" w:color="auto"/>
            </w:tcBorders>
            <w:shd w:val="clear" w:color="auto" w:fill="F2F2F2"/>
            <w:vAlign w:val="center"/>
            <w:hideMark/>
          </w:tcPr>
          <w:p w14:paraId="2503877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8"/>
                <w:szCs w:val="18"/>
                <w:lang w:eastAsia="pt-BR"/>
              </w:rPr>
              <w:t>10,00</w:t>
            </w:r>
          </w:p>
        </w:tc>
        <w:tc>
          <w:tcPr>
            <w:tcW w:w="322" w:type="pct"/>
            <w:tcBorders>
              <w:top w:val="nil"/>
              <w:left w:val="nil"/>
              <w:bottom w:val="single" w:sz="4" w:space="0" w:color="auto"/>
              <w:right w:val="single" w:sz="4" w:space="0" w:color="auto"/>
            </w:tcBorders>
            <w:shd w:val="clear" w:color="auto" w:fill="FFFFFF"/>
            <w:vAlign w:val="center"/>
          </w:tcPr>
          <w:p w14:paraId="1371B66E"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FFFFFF"/>
            <w:vAlign w:val="center"/>
          </w:tcPr>
          <w:p w14:paraId="0C7062A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1,00%</w:t>
            </w:r>
          </w:p>
        </w:tc>
        <w:tc>
          <w:tcPr>
            <w:tcW w:w="357" w:type="pct"/>
            <w:tcBorders>
              <w:top w:val="nil"/>
              <w:left w:val="nil"/>
              <w:bottom w:val="single" w:sz="4" w:space="0" w:color="auto"/>
              <w:right w:val="single" w:sz="4" w:space="0" w:color="auto"/>
            </w:tcBorders>
            <w:shd w:val="clear" w:color="auto" w:fill="FFFFFF"/>
            <w:vAlign w:val="center"/>
          </w:tcPr>
          <w:p w14:paraId="4E850EC2"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color w:val="000000"/>
                <w:sz w:val="16"/>
                <w:szCs w:val="16"/>
                <w:lang w:eastAsia="pt-BR"/>
              </w:rPr>
              <w:t>5,00%</w:t>
            </w:r>
          </w:p>
        </w:tc>
      </w:tr>
      <w:tr w:rsidR="00EA17D8" w:rsidRPr="00EA17D8" w14:paraId="2D4931CD" w14:textId="77777777" w:rsidTr="00EA17D8">
        <w:trPr>
          <w:trHeight w:val="233"/>
        </w:trPr>
        <w:tc>
          <w:tcPr>
            <w:tcW w:w="552" w:type="pct"/>
            <w:vMerge/>
            <w:vAlign w:val="center"/>
            <w:hideMark/>
          </w:tcPr>
          <w:p w14:paraId="098AE82D" w14:textId="77777777" w:rsidR="00EA17D8" w:rsidRPr="00EA17D8" w:rsidRDefault="00EA17D8" w:rsidP="00EA17D8">
            <w:pPr>
              <w:spacing w:after="0" w:line="240" w:lineRule="auto"/>
              <w:jc w:val="center"/>
              <w:rPr>
                <w:rFonts w:ascii="Calibri" w:eastAsia="Times New Roman" w:hAnsi="Calibri" w:cs="Calibri"/>
                <w:b/>
                <w:bCs/>
                <w:color w:val="FFFFFF"/>
                <w:sz w:val="18"/>
                <w:szCs w:val="18"/>
                <w:lang w:eastAsia="pt-BR"/>
              </w:rPr>
            </w:pPr>
          </w:p>
        </w:tc>
        <w:tc>
          <w:tcPr>
            <w:tcW w:w="618" w:type="pct"/>
            <w:tcBorders>
              <w:top w:val="nil"/>
              <w:left w:val="nil"/>
              <w:bottom w:val="single" w:sz="4" w:space="0" w:color="auto"/>
              <w:right w:val="single" w:sz="4" w:space="0" w:color="auto"/>
            </w:tcBorders>
            <w:shd w:val="clear" w:color="auto" w:fill="C8CFFC"/>
            <w:vAlign w:val="center"/>
            <w:hideMark/>
          </w:tcPr>
          <w:p w14:paraId="30F9AC90"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p>
        </w:tc>
        <w:tc>
          <w:tcPr>
            <w:tcW w:w="638" w:type="pct"/>
            <w:tcBorders>
              <w:top w:val="nil"/>
              <w:left w:val="nil"/>
              <w:bottom w:val="single" w:sz="4" w:space="0" w:color="auto"/>
              <w:right w:val="single" w:sz="4" w:space="0" w:color="auto"/>
            </w:tcBorders>
            <w:shd w:val="clear" w:color="auto" w:fill="C8CFFC"/>
            <w:vAlign w:val="center"/>
            <w:hideMark/>
          </w:tcPr>
          <w:p w14:paraId="755DDC36" w14:textId="77777777" w:rsidR="00EA17D8" w:rsidRPr="00EA17D8" w:rsidRDefault="00EA17D8" w:rsidP="00EA17D8">
            <w:pPr>
              <w:spacing w:after="0" w:line="240" w:lineRule="auto"/>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Subtotal</w:t>
            </w:r>
          </w:p>
        </w:tc>
        <w:tc>
          <w:tcPr>
            <w:tcW w:w="508" w:type="pct"/>
            <w:tcBorders>
              <w:top w:val="nil"/>
              <w:left w:val="nil"/>
              <w:bottom w:val="single" w:sz="4" w:space="0" w:color="auto"/>
              <w:right w:val="single" w:sz="4" w:space="0" w:color="auto"/>
            </w:tcBorders>
            <w:shd w:val="clear" w:color="auto" w:fill="C8CFFC"/>
            <w:vAlign w:val="center"/>
          </w:tcPr>
          <w:p w14:paraId="2CD603E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415" w:type="pct"/>
            <w:tcBorders>
              <w:top w:val="nil"/>
              <w:left w:val="nil"/>
              <w:bottom w:val="single" w:sz="4" w:space="0" w:color="auto"/>
              <w:right w:val="single" w:sz="4" w:space="0" w:color="auto"/>
            </w:tcBorders>
            <w:shd w:val="clear" w:color="auto" w:fill="C8CFFC"/>
            <w:vAlign w:val="center"/>
          </w:tcPr>
          <w:p w14:paraId="296040D5" w14:textId="77777777" w:rsidR="00EA17D8" w:rsidRPr="00EA17D8" w:rsidRDefault="00EA17D8" w:rsidP="00EA17D8">
            <w:pPr>
              <w:spacing w:after="0" w:line="240" w:lineRule="auto"/>
              <w:jc w:val="center"/>
              <w:rPr>
                <w:rFonts w:ascii="Calibri" w:eastAsia="Times New Roman" w:hAnsi="Calibri" w:cs="Calibri"/>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1184" w:type="pct"/>
            <w:gridSpan w:val="5"/>
            <w:tcBorders>
              <w:top w:val="single" w:sz="4" w:space="0" w:color="auto"/>
              <w:left w:val="nil"/>
              <w:bottom w:val="single" w:sz="4" w:space="0" w:color="auto"/>
              <w:right w:val="single" w:sz="4" w:space="0" w:color="auto"/>
            </w:tcBorders>
            <w:shd w:val="clear" w:color="auto" w:fill="C8CFFC"/>
            <w:vAlign w:val="center"/>
            <w:hideMark/>
          </w:tcPr>
          <w:p w14:paraId="6CA400A5"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w:t>
            </w:r>
          </w:p>
        </w:tc>
        <w:tc>
          <w:tcPr>
            <w:tcW w:w="322" w:type="pct"/>
            <w:tcBorders>
              <w:top w:val="nil"/>
              <w:left w:val="nil"/>
              <w:bottom w:val="single" w:sz="4" w:space="0" w:color="auto"/>
              <w:right w:val="single" w:sz="4" w:space="0" w:color="auto"/>
            </w:tcBorders>
            <w:shd w:val="clear" w:color="auto" w:fill="C8CFFC"/>
            <w:vAlign w:val="center"/>
          </w:tcPr>
          <w:p w14:paraId="6AB9AEE7"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0,00%</w:t>
            </w:r>
          </w:p>
        </w:tc>
        <w:tc>
          <w:tcPr>
            <w:tcW w:w="407" w:type="pct"/>
            <w:tcBorders>
              <w:top w:val="nil"/>
              <w:left w:val="nil"/>
              <w:bottom w:val="single" w:sz="4" w:space="0" w:color="auto"/>
              <w:right w:val="single" w:sz="4" w:space="0" w:color="auto"/>
            </w:tcBorders>
            <w:shd w:val="clear" w:color="auto" w:fill="C8CFFC"/>
            <w:vAlign w:val="center"/>
          </w:tcPr>
          <w:p w14:paraId="7077C296"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1,00%</w:t>
            </w:r>
          </w:p>
        </w:tc>
        <w:tc>
          <w:tcPr>
            <w:tcW w:w="357" w:type="pct"/>
            <w:tcBorders>
              <w:top w:val="nil"/>
              <w:left w:val="nil"/>
              <w:bottom w:val="single" w:sz="4" w:space="0" w:color="auto"/>
              <w:right w:val="single" w:sz="4" w:space="0" w:color="auto"/>
            </w:tcBorders>
            <w:shd w:val="clear" w:color="auto" w:fill="C8CFFC"/>
            <w:vAlign w:val="center"/>
          </w:tcPr>
          <w:p w14:paraId="3D70D932"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6"/>
                <w:szCs w:val="16"/>
                <w:lang w:eastAsia="pt-BR"/>
              </w:rPr>
              <w:t>5,00%</w:t>
            </w:r>
          </w:p>
        </w:tc>
      </w:tr>
      <w:tr w:rsidR="00EA17D8" w:rsidRPr="00EA17D8" w14:paraId="394809EA" w14:textId="77777777" w:rsidTr="00EA17D8">
        <w:trPr>
          <w:trHeight w:val="233"/>
        </w:trPr>
        <w:tc>
          <w:tcPr>
            <w:tcW w:w="1808" w:type="pct"/>
            <w:gridSpan w:val="3"/>
            <w:tcBorders>
              <w:top w:val="single" w:sz="4" w:space="0" w:color="auto"/>
              <w:left w:val="single" w:sz="4" w:space="0" w:color="auto"/>
              <w:bottom w:val="single" w:sz="4" w:space="0" w:color="auto"/>
              <w:right w:val="single" w:sz="4" w:space="0" w:color="auto"/>
            </w:tcBorders>
            <w:shd w:val="clear" w:color="auto" w:fill="A6A6A6"/>
            <w:vAlign w:val="center"/>
            <w:hideMark/>
          </w:tcPr>
          <w:p w14:paraId="6C0848C2"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Total Geral</w:t>
            </w:r>
          </w:p>
        </w:tc>
        <w:tc>
          <w:tcPr>
            <w:tcW w:w="508" w:type="pct"/>
            <w:tcBorders>
              <w:top w:val="nil"/>
              <w:left w:val="nil"/>
              <w:bottom w:val="single" w:sz="4" w:space="0" w:color="auto"/>
              <w:right w:val="single" w:sz="4" w:space="0" w:color="auto"/>
            </w:tcBorders>
            <w:shd w:val="clear" w:color="auto" w:fill="A6A6A6"/>
            <w:vAlign w:val="center"/>
          </w:tcPr>
          <w:p w14:paraId="14DC18AA"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F31F4"/>
                <w:sz w:val="16"/>
                <w:szCs w:val="16"/>
                <w:lang w:eastAsia="pt-BR"/>
              </w:rPr>
              <w:t>45.344.822,31</w:t>
            </w:r>
          </w:p>
        </w:tc>
        <w:tc>
          <w:tcPr>
            <w:tcW w:w="415" w:type="pct"/>
            <w:tcBorders>
              <w:top w:val="nil"/>
              <w:left w:val="nil"/>
              <w:bottom w:val="single" w:sz="4" w:space="0" w:color="auto"/>
              <w:right w:val="single" w:sz="4" w:space="0" w:color="auto"/>
            </w:tcBorders>
            <w:shd w:val="clear" w:color="auto" w:fill="A6A6A6"/>
            <w:vAlign w:val="center"/>
          </w:tcPr>
          <w:p w14:paraId="5AAAF1AC"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F31F4"/>
                <w:sz w:val="16"/>
                <w:szCs w:val="16"/>
                <w:lang w:eastAsia="pt-BR"/>
              </w:rPr>
              <w:t>100,00%</w:t>
            </w:r>
          </w:p>
        </w:tc>
        <w:tc>
          <w:tcPr>
            <w:tcW w:w="1184" w:type="pct"/>
            <w:gridSpan w:val="5"/>
            <w:tcBorders>
              <w:top w:val="single" w:sz="4" w:space="0" w:color="auto"/>
              <w:left w:val="nil"/>
              <w:bottom w:val="single" w:sz="4" w:space="0" w:color="auto"/>
              <w:right w:val="single" w:sz="4" w:space="0" w:color="000000"/>
            </w:tcBorders>
            <w:shd w:val="clear" w:color="auto" w:fill="A6A6A6"/>
            <w:vAlign w:val="center"/>
            <w:hideMark/>
          </w:tcPr>
          <w:p w14:paraId="6B062B00"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00000"/>
                <w:sz w:val="18"/>
                <w:szCs w:val="18"/>
                <w:lang w:eastAsia="pt-BR"/>
              </w:rPr>
              <w:t>-</w:t>
            </w:r>
          </w:p>
        </w:tc>
        <w:tc>
          <w:tcPr>
            <w:tcW w:w="322" w:type="pct"/>
            <w:tcBorders>
              <w:top w:val="nil"/>
              <w:left w:val="nil"/>
              <w:bottom w:val="single" w:sz="4" w:space="0" w:color="auto"/>
              <w:right w:val="single" w:sz="4" w:space="0" w:color="auto"/>
            </w:tcBorders>
            <w:shd w:val="clear" w:color="auto" w:fill="A6A6A6"/>
            <w:vAlign w:val="center"/>
          </w:tcPr>
          <w:p w14:paraId="66AC7ED5" w14:textId="77777777" w:rsidR="00EA17D8" w:rsidRPr="00EA17D8" w:rsidRDefault="00EA17D8" w:rsidP="00EA17D8">
            <w:pPr>
              <w:spacing w:after="0" w:line="240" w:lineRule="auto"/>
              <w:jc w:val="center"/>
              <w:rPr>
                <w:rFonts w:ascii="Calibri" w:eastAsia="Times New Roman" w:hAnsi="Calibri" w:cs="Times New Roman"/>
                <w:b/>
                <w:bCs/>
                <w:color w:val="000000"/>
                <w:sz w:val="18"/>
                <w:szCs w:val="18"/>
                <w:lang w:eastAsia="pt-BR"/>
              </w:rPr>
            </w:pPr>
            <w:r w:rsidRPr="00EA17D8">
              <w:rPr>
                <w:rFonts w:ascii="Calibri" w:eastAsia="Times New Roman" w:hAnsi="Calibri" w:cs="Calibri"/>
                <w:b/>
                <w:bCs/>
                <w:color w:val="0F31F4"/>
                <w:sz w:val="16"/>
                <w:szCs w:val="16"/>
                <w:lang w:eastAsia="pt-BR"/>
              </w:rPr>
              <w:t>00,00%</w:t>
            </w:r>
          </w:p>
        </w:tc>
        <w:tc>
          <w:tcPr>
            <w:tcW w:w="407" w:type="pct"/>
            <w:tcBorders>
              <w:top w:val="nil"/>
              <w:left w:val="nil"/>
              <w:bottom w:val="single" w:sz="4" w:space="0" w:color="auto"/>
              <w:right w:val="single" w:sz="4" w:space="0" w:color="auto"/>
            </w:tcBorders>
            <w:shd w:val="clear" w:color="auto" w:fill="A6A6A6"/>
            <w:vAlign w:val="center"/>
          </w:tcPr>
          <w:p w14:paraId="028A9783" w14:textId="77777777" w:rsidR="00EA17D8" w:rsidRPr="00EA17D8" w:rsidRDefault="00EA17D8" w:rsidP="00EA17D8">
            <w:pPr>
              <w:spacing w:after="0" w:line="240" w:lineRule="auto"/>
              <w:jc w:val="center"/>
              <w:rPr>
                <w:rFonts w:ascii="Calibri" w:eastAsia="Times New Roman" w:hAnsi="Calibri" w:cs="Calibri"/>
                <w:b/>
                <w:bCs/>
                <w:color w:val="000000"/>
                <w:sz w:val="18"/>
                <w:szCs w:val="18"/>
                <w:lang w:eastAsia="pt-BR"/>
              </w:rPr>
            </w:pPr>
            <w:r w:rsidRPr="00EA17D8">
              <w:rPr>
                <w:rFonts w:ascii="Calibri" w:eastAsia="Times New Roman" w:hAnsi="Calibri" w:cs="Calibri"/>
                <w:b/>
                <w:bCs/>
                <w:color w:val="0F31F4"/>
                <w:sz w:val="16"/>
                <w:szCs w:val="16"/>
                <w:lang w:eastAsia="pt-BR"/>
              </w:rPr>
              <w:t>100,00%</w:t>
            </w:r>
          </w:p>
        </w:tc>
        <w:tc>
          <w:tcPr>
            <w:tcW w:w="357" w:type="pct"/>
            <w:tcBorders>
              <w:top w:val="nil"/>
              <w:left w:val="nil"/>
              <w:bottom w:val="single" w:sz="4" w:space="0" w:color="auto"/>
              <w:right w:val="single" w:sz="4" w:space="0" w:color="auto"/>
            </w:tcBorders>
            <w:shd w:val="clear" w:color="auto" w:fill="A6A6A6"/>
            <w:vAlign w:val="center"/>
          </w:tcPr>
          <w:p w14:paraId="19E31FCF" w14:textId="77777777" w:rsidR="00EA17D8" w:rsidRPr="00EA17D8" w:rsidRDefault="00EA17D8" w:rsidP="00EA17D8">
            <w:pPr>
              <w:spacing w:after="0" w:line="240" w:lineRule="auto"/>
              <w:jc w:val="center"/>
              <w:rPr>
                <w:rFonts w:ascii="Calibri" w:eastAsia="Times New Roman" w:hAnsi="Calibri" w:cs="Calibri"/>
                <w:b/>
                <w:bCs/>
                <w:color w:val="0F31F4"/>
                <w:sz w:val="16"/>
                <w:szCs w:val="16"/>
                <w:lang w:eastAsia="pt-BR"/>
              </w:rPr>
            </w:pPr>
            <w:r w:rsidRPr="00EA17D8">
              <w:rPr>
                <w:rFonts w:ascii="Calibri" w:eastAsia="Times New Roman" w:hAnsi="Calibri" w:cs="Calibri"/>
                <w:b/>
                <w:bCs/>
                <w:color w:val="0F31F4"/>
                <w:sz w:val="16"/>
                <w:szCs w:val="16"/>
                <w:lang w:eastAsia="pt-BR"/>
              </w:rPr>
              <w:t>-</w:t>
            </w:r>
          </w:p>
        </w:tc>
      </w:tr>
    </w:tbl>
    <w:p w14:paraId="1F326781" w14:textId="77777777" w:rsidR="00B10C43" w:rsidRDefault="00B10C43" w:rsidP="00DC3EFC">
      <w:pPr>
        <w:spacing w:after="160" w:line="259" w:lineRule="auto"/>
        <w:jc w:val="both"/>
        <w:rPr>
          <w:rFonts w:ascii="Arial" w:hAnsi="Arial" w:cs="Arial"/>
          <w:sz w:val="24"/>
          <w:szCs w:val="24"/>
        </w:rPr>
      </w:pPr>
    </w:p>
    <w:p w14:paraId="5E52492F" w14:textId="04A42507" w:rsidR="00DC3EFC" w:rsidRDefault="00EA17D8" w:rsidP="00DC3EFC">
      <w:pPr>
        <w:spacing w:after="160" w:line="259" w:lineRule="auto"/>
        <w:jc w:val="both"/>
        <w:rPr>
          <w:rFonts w:ascii="Arial" w:hAnsi="Arial" w:cs="Arial"/>
          <w:sz w:val="10"/>
          <w:szCs w:val="10"/>
        </w:rPr>
      </w:pPr>
      <w:r>
        <w:rPr>
          <w:rFonts w:ascii="Arial" w:hAnsi="Arial" w:cs="Arial"/>
          <w:sz w:val="24"/>
          <w:szCs w:val="24"/>
        </w:rPr>
        <w:t>D</w:t>
      </w:r>
      <w:r w:rsidRPr="00192E24">
        <w:rPr>
          <w:rFonts w:ascii="Arial" w:hAnsi="Arial" w:cs="Arial"/>
          <w:sz w:val="24"/>
          <w:szCs w:val="24"/>
        </w:rPr>
        <w:t>eliberou-se ainda pela realização de reunião extraordinária com o Conselho Deliberativo para apresentação das alterações e deliberação final até o dia 29 de janeiro de 2026, assegurando conformidade com os prazos regulatórios e posterior encaminhamento aos órgãos de controle</w:t>
      </w:r>
      <w:r w:rsidR="00921A1C">
        <w:rPr>
          <w:rFonts w:ascii="Arial" w:hAnsi="Arial" w:cs="Arial"/>
          <w:sz w:val="24"/>
          <w:szCs w:val="24"/>
        </w:rPr>
        <w:t>. Que o</w:t>
      </w:r>
      <w:r w:rsidR="00DC3EFC" w:rsidRPr="000F4B88">
        <w:rPr>
          <w:rFonts w:ascii="Arial" w:hAnsi="Arial" w:cs="Arial"/>
          <w:sz w:val="24"/>
          <w:szCs w:val="24"/>
        </w:rPr>
        <w:t xml:space="preserve"> Conselho Fiscal acompanhará sua execução, e a consultoria permanecerá à disposição para dúvidas.</w:t>
      </w:r>
      <w:r w:rsidR="00DC3EFC" w:rsidRPr="00DC3EFC">
        <w:rPr>
          <w:rFonts w:ascii="Arial" w:hAnsi="Arial" w:cs="Arial"/>
          <w:sz w:val="24"/>
          <w:szCs w:val="24"/>
        </w:rPr>
        <w:t xml:space="preserve"> </w:t>
      </w:r>
      <w:r w:rsidR="00DC3EFC" w:rsidRPr="000F4B88">
        <w:rPr>
          <w:rFonts w:ascii="Arial" w:hAnsi="Arial" w:cs="Arial"/>
          <w:sz w:val="24"/>
          <w:szCs w:val="24"/>
        </w:rPr>
        <w:t>Nada mais havendo a tratar, a Presidente Francielle Elgita de Oliveira Costa agradeceu a participação de todos e encerrou a reunião. Eu, Rosimery Aparecida Inácio de Pinho Procópio, ______________, secretária do Comitê de Investimentos, lavrei a presente ata, que, lida e aprovada, será assinada pelos membros presentes.</w:t>
      </w:r>
      <w:r w:rsidR="00DC3EFC" w:rsidRPr="00DC3EFC">
        <w:rPr>
          <w:rFonts w:ascii="Arial" w:hAnsi="Arial" w:cs="Arial"/>
          <w:sz w:val="24"/>
          <w:szCs w:val="24"/>
        </w:rPr>
        <w:t xml:space="preserve"> </w:t>
      </w:r>
      <w:r w:rsidR="00DC3EFC" w:rsidRPr="000F4B88">
        <w:rPr>
          <w:rFonts w:ascii="Arial" w:hAnsi="Arial" w:cs="Arial"/>
          <w:sz w:val="24"/>
          <w:szCs w:val="24"/>
        </w:rPr>
        <w:t xml:space="preserve">Guanhães, </w:t>
      </w:r>
      <w:r w:rsidR="00921A1C">
        <w:rPr>
          <w:rFonts w:ascii="Arial" w:hAnsi="Arial" w:cs="Arial"/>
          <w:sz w:val="24"/>
          <w:szCs w:val="24"/>
        </w:rPr>
        <w:t>14 de janeiro de 2026.</w:t>
      </w:r>
    </w:p>
    <w:p w14:paraId="4AE24F87" w14:textId="77777777" w:rsidR="00A8590F" w:rsidRDefault="00A8590F" w:rsidP="00DC3EFC">
      <w:pPr>
        <w:spacing w:after="160" w:line="259" w:lineRule="auto"/>
        <w:jc w:val="both"/>
        <w:rPr>
          <w:rFonts w:ascii="Arial" w:hAnsi="Arial" w:cs="Arial"/>
          <w:sz w:val="10"/>
          <w:szCs w:val="10"/>
        </w:rPr>
      </w:pPr>
    </w:p>
    <w:p w14:paraId="0BCA64ED" w14:textId="77777777" w:rsidR="00DC3EFC" w:rsidRPr="00DC3EFC" w:rsidRDefault="00DC3EFC" w:rsidP="00DC3EFC">
      <w:pPr>
        <w:pStyle w:val="SemEspaamento"/>
        <w:rPr>
          <w:rFonts w:ascii="Arial" w:hAnsi="Arial" w:cs="Arial"/>
          <w:sz w:val="24"/>
          <w:szCs w:val="24"/>
          <w:lang w:val="pt-BR"/>
        </w:rPr>
      </w:pPr>
      <w:r w:rsidRPr="00DC3EFC">
        <w:rPr>
          <w:rFonts w:ascii="Arial" w:hAnsi="Arial" w:cs="Arial"/>
          <w:sz w:val="24"/>
          <w:szCs w:val="24"/>
          <w:lang w:val="pt-BR"/>
        </w:rPr>
        <w:t xml:space="preserve">   Francielle Elgita de Oliveira Costa                    Rosimery Ap. Inácio de Pinho Procópio  </w:t>
      </w:r>
    </w:p>
    <w:p w14:paraId="6E8E8EA5" w14:textId="77777777" w:rsidR="00DC3EFC" w:rsidRPr="00DC3EFC" w:rsidRDefault="00DC3EFC" w:rsidP="00DC3EFC">
      <w:pPr>
        <w:pStyle w:val="SemEspaamento"/>
        <w:rPr>
          <w:rFonts w:ascii="Arial" w:hAnsi="Arial" w:cs="Arial"/>
          <w:sz w:val="24"/>
          <w:szCs w:val="24"/>
          <w:lang w:val="pt-BR"/>
        </w:rPr>
      </w:pPr>
      <w:r w:rsidRPr="00DC3EFC">
        <w:rPr>
          <w:rFonts w:ascii="Arial" w:hAnsi="Arial" w:cs="Arial"/>
          <w:sz w:val="24"/>
          <w:szCs w:val="24"/>
          <w:lang w:val="pt-BR"/>
        </w:rPr>
        <w:t>Presidente do Comitê/Gestor Recursos</w:t>
      </w:r>
      <w:r w:rsidRPr="00DC3EFC">
        <w:rPr>
          <w:rFonts w:ascii="Arial" w:hAnsi="Arial" w:cs="Arial"/>
          <w:sz w:val="24"/>
          <w:szCs w:val="24"/>
          <w:lang w:val="pt-BR"/>
        </w:rPr>
        <w:tab/>
        <w:t xml:space="preserve">                                  Secretária</w:t>
      </w:r>
    </w:p>
    <w:p w14:paraId="6E0332C5" w14:textId="77777777" w:rsidR="00DC3EFC" w:rsidRPr="00DC3EFC" w:rsidRDefault="00DC3EFC" w:rsidP="00DC3EFC">
      <w:pPr>
        <w:pStyle w:val="SemEspaamento"/>
        <w:rPr>
          <w:rFonts w:ascii="Arial" w:hAnsi="Arial" w:cs="Arial"/>
          <w:sz w:val="24"/>
          <w:szCs w:val="24"/>
          <w:lang w:val="pt-BR"/>
        </w:rPr>
      </w:pPr>
      <w:r w:rsidRPr="00DC3EFC">
        <w:rPr>
          <w:rFonts w:ascii="Arial" w:hAnsi="Arial" w:cs="Arial"/>
          <w:sz w:val="24"/>
          <w:szCs w:val="24"/>
          <w:lang w:val="pt-BR"/>
        </w:rPr>
        <w:t xml:space="preserve"> </w:t>
      </w:r>
    </w:p>
    <w:p w14:paraId="0BBF9FE3" w14:textId="77777777" w:rsidR="00DC3EFC" w:rsidRPr="00DC3EFC" w:rsidRDefault="00DC3EFC" w:rsidP="00DC3EFC">
      <w:pPr>
        <w:pStyle w:val="SemEspaamento"/>
        <w:rPr>
          <w:rFonts w:ascii="Arial" w:hAnsi="Arial" w:cs="Arial"/>
          <w:sz w:val="24"/>
          <w:szCs w:val="24"/>
          <w:lang w:val="pt-BR"/>
        </w:rPr>
      </w:pPr>
    </w:p>
    <w:p w14:paraId="516585BB" w14:textId="77777777" w:rsidR="00DC3EFC" w:rsidRPr="00DC3EFC" w:rsidRDefault="00DC3EFC" w:rsidP="00DC3EFC">
      <w:pPr>
        <w:pStyle w:val="SemEspaamento"/>
        <w:jc w:val="center"/>
        <w:rPr>
          <w:rFonts w:ascii="Arial" w:hAnsi="Arial" w:cs="Arial"/>
          <w:sz w:val="24"/>
          <w:szCs w:val="24"/>
          <w:lang w:val="pt-BR"/>
        </w:rPr>
      </w:pPr>
      <w:r w:rsidRPr="00DC3EFC">
        <w:rPr>
          <w:rFonts w:ascii="Arial" w:hAnsi="Arial" w:cs="Arial"/>
          <w:sz w:val="24"/>
          <w:szCs w:val="24"/>
          <w:lang w:val="pt-BR"/>
        </w:rPr>
        <w:t xml:space="preserve"> </w:t>
      </w:r>
    </w:p>
    <w:p w14:paraId="3EC82E9A" w14:textId="77777777" w:rsidR="00DC3EFC" w:rsidRPr="00DC3EFC" w:rsidRDefault="00DC3EFC" w:rsidP="00DC3EFC">
      <w:pPr>
        <w:pStyle w:val="SemEspaamento"/>
        <w:rPr>
          <w:rFonts w:ascii="Arial" w:hAnsi="Arial" w:cs="Arial"/>
          <w:sz w:val="24"/>
          <w:szCs w:val="24"/>
          <w:lang w:val="pt-BR"/>
        </w:rPr>
      </w:pPr>
      <w:r w:rsidRPr="00DC3EFC">
        <w:rPr>
          <w:rFonts w:ascii="Arial" w:hAnsi="Arial" w:cs="Arial"/>
          <w:sz w:val="24"/>
          <w:szCs w:val="24"/>
          <w:lang w:val="pt-BR"/>
        </w:rPr>
        <w:t>Cláudia Ap. Monteiro dos Santos                                      Daniel Fernando da Silva</w:t>
      </w:r>
    </w:p>
    <w:p w14:paraId="20B0915B" w14:textId="77777777" w:rsidR="00DC3EFC" w:rsidRPr="00DC3EFC" w:rsidRDefault="00DC3EFC" w:rsidP="00DC3EFC">
      <w:pPr>
        <w:pStyle w:val="SemEspaamento"/>
        <w:rPr>
          <w:rFonts w:ascii="Arial" w:hAnsi="Arial" w:cs="Arial"/>
          <w:sz w:val="24"/>
          <w:szCs w:val="24"/>
          <w:lang w:val="pt-BR"/>
        </w:rPr>
      </w:pPr>
      <w:r w:rsidRPr="00DC3EFC">
        <w:rPr>
          <w:rFonts w:ascii="Arial" w:hAnsi="Arial" w:cs="Arial"/>
          <w:sz w:val="24"/>
          <w:szCs w:val="24"/>
          <w:lang w:val="pt-BR"/>
        </w:rPr>
        <w:t xml:space="preserve">                  Membro                                                                           Membro</w:t>
      </w:r>
    </w:p>
    <w:p w14:paraId="30C50782" w14:textId="77777777" w:rsidR="00DC3EFC" w:rsidRPr="00DC3EFC" w:rsidRDefault="00DC3EFC" w:rsidP="00DC3EFC">
      <w:pPr>
        <w:pStyle w:val="SemEspaamento"/>
        <w:jc w:val="center"/>
        <w:rPr>
          <w:rFonts w:ascii="Arial" w:hAnsi="Arial" w:cs="Arial"/>
          <w:sz w:val="24"/>
          <w:szCs w:val="24"/>
          <w:lang w:val="pt-BR"/>
        </w:rPr>
      </w:pPr>
    </w:p>
    <w:p w14:paraId="11BDC997" w14:textId="77777777" w:rsidR="00DC3EFC" w:rsidRPr="00DC3EFC" w:rsidRDefault="00DC3EFC" w:rsidP="00DC3EFC">
      <w:pPr>
        <w:pStyle w:val="SemEspaamento"/>
        <w:rPr>
          <w:rFonts w:ascii="Arial" w:hAnsi="Arial" w:cs="Arial"/>
          <w:sz w:val="24"/>
          <w:szCs w:val="24"/>
          <w:lang w:val="pt-BR"/>
        </w:rPr>
      </w:pPr>
    </w:p>
    <w:p w14:paraId="38EB64A5" w14:textId="77777777" w:rsidR="00DC3EFC" w:rsidRPr="00DC3EFC" w:rsidRDefault="00DC3EFC" w:rsidP="00DC3EFC">
      <w:pPr>
        <w:pStyle w:val="SemEspaamento"/>
        <w:jc w:val="center"/>
        <w:rPr>
          <w:rFonts w:ascii="Arial" w:hAnsi="Arial" w:cs="Arial"/>
          <w:sz w:val="24"/>
          <w:szCs w:val="24"/>
          <w:lang w:val="pt-BR"/>
        </w:rPr>
      </w:pPr>
      <w:r w:rsidRPr="00DC3EFC">
        <w:rPr>
          <w:rFonts w:ascii="Arial" w:hAnsi="Arial" w:cs="Arial"/>
          <w:sz w:val="24"/>
          <w:szCs w:val="24"/>
          <w:lang w:val="pt-BR"/>
        </w:rPr>
        <w:t>Humberto Salvador Ferreira Lopes</w:t>
      </w:r>
    </w:p>
    <w:p w14:paraId="3980F006" w14:textId="77777777" w:rsidR="00DC3EFC" w:rsidRPr="00DC3EFC" w:rsidRDefault="00DC3EFC" w:rsidP="00DC3EFC">
      <w:pPr>
        <w:pStyle w:val="SemEspaamento"/>
        <w:jc w:val="center"/>
        <w:rPr>
          <w:rFonts w:ascii="Arial" w:hAnsi="Arial" w:cs="Arial"/>
          <w:sz w:val="24"/>
          <w:szCs w:val="24"/>
        </w:rPr>
      </w:pPr>
      <w:r w:rsidRPr="00DC3EFC">
        <w:rPr>
          <w:rFonts w:ascii="Arial" w:hAnsi="Arial" w:cs="Arial"/>
          <w:sz w:val="24"/>
          <w:szCs w:val="24"/>
          <w:lang w:val="pt-BR"/>
        </w:rPr>
        <w:t>Membro</w:t>
      </w:r>
      <w:r w:rsidRPr="00DC3EFC">
        <w:rPr>
          <w:rFonts w:ascii="Arial" w:hAnsi="Arial" w:cs="Arial"/>
          <w:sz w:val="24"/>
          <w:szCs w:val="24"/>
        </w:rPr>
        <w:t xml:space="preserve"> </w:t>
      </w:r>
    </w:p>
    <w:p w14:paraId="2D7F6820" w14:textId="77777777" w:rsidR="00DC3EFC" w:rsidRPr="000F4B88" w:rsidRDefault="00DC3EFC" w:rsidP="00DC3EFC">
      <w:pPr>
        <w:spacing w:after="160" w:line="259" w:lineRule="auto"/>
        <w:jc w:val="both"/>
        <w:rPr>
          <w:rFonts w:ascii="Arial" w:hAnsi="Arial" w:cs="Arial"/>
          <w:sz w:val="24"/>
          <w:szCs w:val="24"/>
        </w:rPr>
      </w:pPr>
    </w:p>
    <w:p w14:paraId="40C140A3" w14:textId="77777777" w:rsidR="00DC3EFC" w:rsidRPr="00DC3EFC" w:rsidRDefault="00DC3EFC" w:rsidP="00DC3EFC">
      <w:pPr>
        <w:jc w:val="both"/>
        <w:rPr>
          <w:rFonts w:ascii="Arial" w:hAnsi="Arial" w:cs="Arial"/>
          <w:sz w:val="24"/>
          <w:szCs w:val="24"/>
        </w:rPr>
      </w:pPr>
    </w:p>
    <w:p w14:paraId="01DA2107" w14:textId="188AA76D" w:rsidR="00330475" w:rsidRPr="00DC3EFC" w:rsidRDefault="000D53E0" w:rsidP="00E3768E">
      <w:pPr>
        <w:rPr>
          <w:rFonts w:ascii="Arial" w:hAnsi="Arial" w:cs="Arial"/>
          <w:sz w:val="24"/>
          <w:szCs w:val="24"/>
        </w:rPr>
      </w:pPr>
      <w:r w:rsidRPr="00DC3EFC">
        <w:rPr>
          <w:rFonts w:ascii="Arial" w:hAnsi="Arial" w:cs="Arial"/>
          <w:sz w:val="24"/>
          <w:szCs w:val="24"/>
        </w:rPr>
        <w:t xml:space="preserve"> </w:t>
      </w:r>
      <w:bookmarkEnd w:id="0"/>
    </w:p>
    <w:sectPr w:rsidR="00330475" w:rsidRPr="00DC3EFC" w:rsidSect="00DC3EFC">
      <w:headerReference w:type="even" r:id="rId8"/>
      <w:headerReference w:type="default" r:id="rId9"/>
      <w:footerReference w:type="even" r:id="rId10"/>
      <w:footerReference w:type="default" r:id="rId11"/>
      <w:headerReference w:type="first" r:id="rId12"/>
      <w:footerReference w:type="first" r:id="rId13"/>
      <w:pgSz w:w="11906" w:h="16838"/>
      <w:pgMar w:top="1417" w:right="1133" w:bottom="42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4E59" w14:textId="77777777" w:rsidR="00AE38A1" w:rsidRDefault="00AE38A1" w:rsidP="00AE38A1">
      <w:pPr>
        <w:spacing w:after="0" w:line="240" w:lineRule="auto"/>
      </w:pPr>
      <w:r>
        <w:separator/>
      </w:r>
    </w:p>
  </w:endnote>
  <w:endnote w:type="continuationSeparator" w:id="0">
    <w:p w14:paraId="790945C6" w14:textId="77777777" w:rsidR="00AE38A1" w:rsidRDefault="00AE38A1" w:rsidP="00AE3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670E" w14:textId="77777777" w:rsidR="006B11D8" w:rsidRDefault="006B11D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819" w14:textId="0CD7D499" w:rsidR="00AC2144" w:rsidRDefault="006B11D8" w:rsidP="006B11D8">
    <w:pPr>
      <w:jc w:val="center"/>
    </w:pPr>
    <w:r>
      <w:rPr>
        <w:rFonts w:cstheme="minorHAnsi"/>
        <w:b/>
        <w:color w:val="17365D" w:themeColor="text2" w:themeShade="BF"/>
        <w:sz w:val="20"/>
        <w:szCs w:val="20"/>
      </w:rPr>
      <w:br/>
    </w:r>
    <w:r w:rsidR="00AC2144" w:rsidRPr="00507063">
      <w:rPr>
        <w:rFonts w:cstheme="minorHAnsi"/>
        <w:b/>
        <w:color w:val="17365D" w:themeColor="text2" w:themeShade="BF"/>
        <w:sz w:val="20"/>
        <w:szCs w:val="20"/>
      </w:rPr>
      <w:t>Rua Monsenhor Pinheiro, 101 – Centro –</w:t>
    </w:r>
    <w:r>
      <w:rPr>
        <w:rFonts w:cstheme="minorHAnsi"/>
        <w:b/>
        <w:color w:val="17365D" w:themeColor="text2" w:themeShade="BF"/>
        <w:sz w:val="20"/>
        <w:szCs w:val="20"/>
      </w:rPr>
      <w:t xml:space="preserve"> </w:t>
    </w:r>
    <w:r w:rsidR="00AC2144" w:rsidRPr="00507063">
      <w:rPr>
        <w:rFonts w:cstheme="minorHAnsi"/>
        <w:b/>
        <w:color w:val="17365D" w:themeColor="text2" w:themeShade="BF"/>
        <w:sz w:val="20"/>
        <w:szCs w:val="20"/>
      </w:rPr>
      <w:t xml:space="preserve">Guanhães – MG – </w:t>
    </w:r>
    <w:r w:rsidRPr="00507063">
      <w:rPr>
        <w:rFonts w:cstheme="minorHAnsi"/>
        <w:b/>
        <w:color w:val="17365D" w:themeColor="text2" w:themeShade="BF"/>
        <w:sz w:val="20"/>
        <w:szCs w:val="20"/>
      </w:rPr>
      <w:t>39740-000 – site: guanhaesprev.mg.gov.br</w:t>
    </w:r>
    <w:r>
      <w:rPr>
        <w:rFonts w:cstheme="minorHAnsi"/>
        <w:b/>
        <w:color w:val="17365D" w:themeColor="text2" w:themeShade="BF"/>
        <w:sz w:val="20"/>
        <w:szCs w:val="20"/>
      </w:rPr>
      <w:t xml:space="preserve"> </w:t>
    </w:r>
    <w:r>
      <w:rPr>
        <w:rFonts w:cstheme="minorHAnsi"/>
        <w:b/>
        <w:color w:val="17365D" w:themeColor="text2" w:themeShade="BF"/>
        <w:sz w:val="20"/>
        <w:szCs w:val="20"/>
      </w:rPr>
      <w:br/>
    </w:r>
    <w:r w:rsidR="00AC2144" w:rsidRPr="00507063">
      <w:rPr>
        <w:rFonts w:cstheme="minorHAnsi"/>
        <w:b/>
        <w:color w:val="17365D" w:themeColor="text2" w:themeShade="BF"/>
        <w:sz w:val="20"/>
        <w:szCs w:val="20"/>
      </w:rPr>
      <w:t>Tel.: (33) 3421-5576</w:t>
    </w:r>
    <w:r w:rsidR="00AC2144">
      <w:rPr>
        <w:rFonts w:cstheme="minorHAnsi"/>
        <w:b/>
        <w:color w:val="17365D" w:themeColor="text2" w:themeShade="BF"/>
        <w:sz w:val="20"/>
        <w:szCs w:val="20"/>
      </w:rPr>
      <w:t xml:space="preserve"> – WhatsApp (33) 3421-5309</w:t>
    </w:r>
    <w:r>
      <w:rPr>
        <w:rFonts w:cstheme="minorHAnsi"/>
        <w:b/>
        <w:color w:val="17365D" w:themeColor="text2" w:themeShade="BF"/>
        <w:sz w:val="20"/>
        <w:szCs w:val="20"/>
      </w:rPr>
      <w:t xml:space="preserve"> - </w:t>
    </w:r>
    <w:r w:rsidR="00AC2144" w:rsidRPr="00507063">
      <w:rPr>
        <w:rFonts w:cstheme="minorHAnsi"/>
        <w:b/>
        <w:color w:val="17365D" w:themeColor="text2" w:themeShade="BF"/>
        <w:sz w:val="20"/>
        <w:szCs w:val="20"/>
      </w:rPr>
      <w:t xml:space="preserve">e-mail: </w:t>
    </w:r>
    <w:hyperlink r:id="rId1" w:history="1">
      <w:r w:rsidRPr="005E2774">
        <w:rPr>
          <w:rStyle w:val="Hyperlink"/>
          <w:rFonts w:cstheme="minorHAnsi"/>
          <w:b/>
          <w:sz w:val="20"/>
          <w:szCs w:val="20"/>
        </w:rPr>
        <w:t>rpps@guanhaesprev.mg.gov.br</w:t>
      </w:r>
    </w:hyperlink>
    <w:r>
      <w:rPr>
        <w:rFonts w:cstheme="minorHAnsi"/>
        <w:b/>
        <w:color w:val="17365D" w:themeColor="text2" w:themeShade="BF"/>
        <w:sz w:val="20"/>
        <w:szCs w:val="20"/>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4435" w14:textId="77777777" w:rsidR="006B11D8" w:rsidRDefault="006B11D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11589" w14:textId="77777777" w:rsidR="00AE38A1" w:rsidRDefault="00AE38A1" w:rsidP="00AE38A1">
      <w:pPr>
        <w:spacing w:after="0" w:line="240" w:lineRule="auto"/>
      </w:pPr>
      <w:r>
        <w:separator/>
      </w:r>
    </w:p>
  </w:footnote>
  <w:footnote w:type="continuationSeparator" w:id="0">
    <w:p w14:paraId="29047E70" w14:textId="77777777" w:rsidR="00AE38A1" w:rsidRDefault="00AE38A1" w:rsidP="00AE3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D35C" w14:textId="1F251A1E" w:rsidR="00AE38A1" w:rsidRDefault="00FC1712">
    <w:pPr>
      <w:pStyle w:val="Cabealho"/>
    </w:pPr>
    <w:r>
      <w:rPr>
        <w:noProof/>
      </w:rPr>
      <w:pict w14:anchorId="6D67C0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7" o:spid="_x0000_s2050" type="#_x0000_t75" style="position:absolute;margin-left:0;margin-top:0;width:510.25pt;height:225.45pt;z-index:-251657216;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269F" w14:textId="72282395" w:rsidR="00AE38A1" w:rsidRDefault="00AC2144" w:rsidP="00AC2144">
    <w:pPr>
      <w:ind w:left="3119" w:hanging="425"/>
      <w:jc w:val="center"/>
    </w:pPr>
    <w:bookmarkStart w:id="1" w:name="_Hlk126065799"/>
    <w:r w:rsidRPr="00BF77EC">
      <w:rPr>
        <w:noProof/>
        <w:sz w:val="28"/>
        <w:szCs w:val="28"/>
        <w:lang w:eastAsia="pt-BR"/>
      </w:rPr>
      <w:drawing>
        <wp:anchor distT="0" distB="0" distL="114300" distR="114300" simplePos="0" relativeHeight="251668480" behindDoc="1" locked="0" layoutInCell="1" allowOverlap="1" wp14:anchorId="107D7129" wp14:editId="376AE286">
          <wp:simplePos x="0" y="0"/>
          <wp:positionH relativeFrom="column">
            <wp:posOffset>139700</wp:posOffset>
          </wp:positionH>
          <wp:positionV relativeFrom="paragraph">
            <wp:posOffset>5080</wp:posOffset>
          </wp:positionV>
          <wp:extent cx="1952625" cy="714375"/>
          <wp:effectExtent l="0" t="0" r="9525" b="9525"/>
          <wp:wrapNone/>
          <wp:docPr id="1523843418" name="Imagem 1523843418" descr="Descrição: Sem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Sem título.jpg"/>
                  <pic:cNvPicPr>
                    <a:picLocks noChangeAspect="1" noChangeArrowheads="1"/>
                  </pic:cNvPicPr>
                </pic:nvPicPr>
                <pic:blipFill>
                  <a:blip r:embed="rId1" cstate="print">
                    <a:extLst>
                      <a:ext uri="{28A0092B-C50C-407E-A947-70E740481C1C}">
                        <a14:useLocalDpi xmlns:a14="http://schemas.microsoft.com/office/drawing/2010/main" val="0"/>
                      </a:ext>
                    </a:extLst>
                  </a:blip>
                  <a:srcRect r="62480"/>
                  <a:stretch>
                    <a:fillRect/>
                  </a:stretch>
                </pic:blipFill>
                <pic:spPr bwMode="auto">
                  <a:xfrm>
                    <a:off x="0" y="0"/>
                    <a:ext cx="1952625" cy="714375"/>
                  </a:xfrm>
                  <a:prstGeom prst="rect">
                    <a:avLst/>
                  </a:prstGeom>
                  <a:noFill/>
                </pic:spPr>
              </pic:pic>
            </a:graphicData>
          </a:graphic>
          <wp14:sizeRelH relativeFrom="page">
            <wp14:pctWidth>0</wp14:pctWidth>
          </wp14:sizeRelH>
          <wp14:sizeRelV relativeFrom="page">
            <wp14:pctHeight>0</wp14:pctHeight>
          </wp14:sizeRelV>
        </wp:anchor>
      </w:drawing>
    </w:r>
    <w:r w:rsidRPr="00BF77EC">
      <w:rPr>
        <w:b/>
        <w:sz w:val="28"/>
        <w:szCs w:val="28"/>
      </w:rPr>
      <w:t xml:space="preserve">     </w:t>
    </w:r>
    <w:r w:rsidRPr="005E5F49">
      <w:rPr>
        <w:b/>
        <w:i/>
        <w:iCs/>
        <w:sz w:val="28"/>
        <w:szCs w:val="28"/>
        <w:u w:val="single"/>
      </w:rPr>
      <w:t xml:space="preserve">INSTITUTO DE PREVIDÊNCIA DOS SERVIDORES PÚBLICOS   </w:t>
    </w:r>
    <w:r w:rsidRPr="005E5F49">
      <w:rPr>
        <w:b/>
        <w:i/>
        <w:iCs/>
        <w:sz w:val="28"/>
        <w:szCs w:val="28"/>
        <w:u w:val="single"/>
      </w:rPr>
      <w:br/>
      <w:t>DO MUNICÍPIO DE GUANHÃES</w:t>
    </w:r>
    <w:r w:rsidRPr="005E5F49">
      <w:rPr>
        <w:b/>
        <w:i/>
        <w:iCs/>
        <w:sz w:val="28"/>
        <w:szCs w:val="28"/>
      </w:rPr>
      <w:t>-</w:t>
    </w:r>
    <w:r w:rsidRPr="005E5F49">
      <w:rPr>
        <w:b/>
        <w:i/>
        <w:iCs/>
        <w:sz w:val="28"/>
        <w:szCs w:val="28"/>
        <w:u w:val="single"/>
      </w:rPr>
      <w:t>GUANHÃESPREV</w:t>
    </w:r>
    <w:r w:rsidRPr="005E5F49">
      <w:rPr>
        <w:b/>
        <w:i/>
        <w:iCs/>
        <w:sz w:val="28"/>
        <w:szCs w:val="28"/>
        <w:u w:val="single"/>
      </w:rPr>
      <w:br/>
      <w:t>CNPJ: 05.518.895/0001-74</w:t>
    </w:r>
    <w:bookmarkEnd w:id="1"/>
    <w:r w:rsidR="00FC1712">
      <w:rPr>
        <w:noProof/>
      </w:rPr>
      <w:pict w14:anchorId="62FB14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8" o:spid="_x0000_s2051" type="#_x0000_t75" style="position:absolute;left:0;text-align:left;margin-left:0;margin-top:0;width:510.25pt;height:225.45pt;z-index:-251656192;mso-position-horizontal:center;mso-position-horizontal-relative:margin;mso-position-vertical:center;mso-position-vertical-relative:margin" o:allowincell="f">
          <v:imagedata r:id="rId2" o:title="TIMBRE_page-00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D80C" w14:textId="3CE92D64" w:rsidR="00AE38A1" w:rsidRDefault="00FC1712">
    <w:pPr>
      <w:pStyle w:val="Cabealho"/>
    </w:pPr>
    <w:r>
      <w:rPr>
        <w:noProof/>
      </w:rPr>
      <w:pict w14:anchorId="587F1A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6" o:spid="_x0000_s2049" type="#_x0000_t75" style="position:absolute;margin-left:0;margin-top:0;width:510.25pt;height:225.45pt;z-index:-251658240;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B2869"/>
    <w:multiLevelType w:val="hybridMultilevel"/>
    <w:tmpl w:val="03A8BC7A"/>
    <w:lvl w:ilvl="0" w:tplc="1E727F5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3770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3B"/>
    <w:rsid w:val="00030786"/>
    <w:rsid w:val="000D0CC5"/>
    <w:rsid w:val="000D53E0"/>
    <w:rsid w:val="001662C9"/>
    <w:rsid w:val="00330475"/>
    <w:rsid w:val="003F6D65"/>
    <w:rsid w:val="004219A3"/>
    <w:rsid w:val="00441214"/>
    <w:rsid w:val="004B4FFC"/>
    <w:rsid w:val="00572B3B"/>
    <w:rsid w:val="005E5F49"/>
    <w:rsid w:val="00646FDF"/>
    <w:rsid w:val="0067285F"/>
    <w:rsid w:val="00683875"/>
    <w:rsid w:val="006B11D8"/>
    <w:rsid w:val="007E24A2"/>
    <w:rsid w:val="007E76D8"/>
    <w:rsid w:val="008253E8"/>
    <w:rsid w:val="008766CE"/>
    <w:rsid w:val="008F28B9"/>
    <w:rsid w:val="00921A1C"/>
    <w:rsid w:val="00954710"/>
    <w:rsid w:val="009832CF"/>
    <w:rsid w:val="00A77661"/>
    <w:rsid w:val="00A8590F"/>
    <w:rsid w:val="00AC2144"/>
    <w:rsid w:val="00AE3618"/>
    <w:rsid w:val="00AE38A1"/>
    <w:rsid w:val="00B10C43"/>
    <w:rsid w:val="00B132A1"/>
    <w:rsid w:val="00BF77EC"/>
    <w:rsid w:val="00C72B68"/>
    <w:rsid w:val="00D25F84"/>
    <w:rsid w:val="00D834D3"/>
    <w:rsid w:val="00DC3EFC"/>
    <w:rsid w:val="00DE38D4"/>
    <w:rsid w:val="00E217F9"/>
    <w:rsid w:val="00E3768E"/>
    <w:rsid w:val="00EA17D8"/>
    <w:rsid w:val="00EB508A"/>
    <w:rsid w:val="00FC171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50E63C8"/>
  <w15:docId w15:val="{D3EEFC45-AD79-44B1-9B69-ABB95EBF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E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E76D8"/>
    <w:rPr>
      <w:color w:val="0000FF" w:themeColor="hyperlink"/>
      <w:u w:val="single"/>
    </w:rPr>
  </w:style>
  <w:style w:type="table" w:styleId="Tabelacomgrade">
    <w:name w:val="Table Grid"/>
    <w:basedOn w:val="Tabelanormal"/>
    <w:uiPriority w:val="39"/>
    <w:rsid w:val="0098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38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38A1"/>
  </w:style>
  <w:style w:type="paragraph" w:styleId="Rodap">
    <w:name w:val="footer"/>
    <w:basedOn w:val="Normal"/>
    <w:link w:val="RodapChar"/>
    <w:uiPriority w:val="99"/>
    <w:unhideWhenUsed/>
    <w:rsid w:val="00AE38A1"/>
    <w:pPr>
      <w:tabs>
        <w:tab w:val="center" w:pos="4252"/>
        <w:tab w:val="right" w:pos="8504"/>
      </w:tabs>
      <w:spacing w:after="0" w:line="240" w:lineRule="auto"/>
    </w:pPr>
  </w:style>
  <w:style w:type="character" w:customStyle="1" w:styleId="RodapChar">
    <w:name w:val="Rodapé Char"/>
    <w:basedOn w:val="Fontepargpadro"/>
    <w:link w:val="Rodap"/>
    <w:uiPriority w:val="99"/>
    <w:rsid w:val="00AE38A1"/>
  </w:style>
  <w:style w:type="character" w:styleId="MenoPendente">
    <w:name w:val="Unresolved Mention"/>
    <w:basedOn w:val="Fontepargpadro"/>
    <w:uiPriority w:val="99"/>
    <w:semiHidden/>
    <w:unhideWhenUsed/>
    <w:rsid w:val="006B11D8"/>
    <w:rPr>
      <w:color w:val="605E5C"/>
      <w:shd w:val="clear" w:color="auto" w:fill="E1DFDD"/>
    </w:rPr>
  </w:style>
  <w:style w:type="paragraph" w:styleId="PargrafodaLista">
    <w:name w:val="List Paragraph"/>
    <w:basedOn w:val="Normal"/>
    <w:uiPriority w:val="34"/>
    <w:qFormat/>
    <w:rsid w:val="000D0CC5"/>
    <w:pPr>
      <w:spacing w:after="160" w:line="259" w:lineRule="auto"/>
      <w:ind w:left="720"/>
      <w:contextualSpacing/>
    </w:pPr>
    <w:rPr>
      <w:kern w:val="2"/>
      <w14:ligatures w14:val="standardContextual"/>
    </w:rPr>
  </w:style>
  <w:style w:type="paragraph" w:styleId="SemEspaamento">
    <w:name w:val="No Spacing"/>
    <w:uiPriority w:val="1"/>
    <w:qFormat/>
    <w:rsid w:val="00DC3EFC"/>
    <w:pPr>
      <w:spacing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rpps@guanhaesprev.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2435-826A-465E-8D50-C39ACE9D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1178</Words>
  <Characters>6367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Rosimeiry Procópio</cp:lastModifiedBy>
  <cp:revision>10</cp:revision>
  <cp:lastPrinted>2025-12-18T14:02:00Z</cp:lastPrinted>
  <dcterms:created xsi:type="dcterms:W3CDTF">2025-12-11T13:13:00Z</dcterms:created>
  <dcterms:modified xsi:type="dcterms:W3CDTF">2026-01-15T18:12:00Z</dcterms:modified>
</cp:coreProperties>
</file>